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F0C9D0" w14:textId="77777777" w:rsidR="001A21AD" w:rsidRDefault="001A21AD" w:rsidP="001C1C8A">
      <w:pPr>
        <w:jc w:val="both"/>
        <w:rPr>
          <w:rFonts w:ascii="Arial" w:hAnsi="Arial" w:cs="Arial"/>
          <w:b/>
          <w:bCs/>
          <w:sz w:val="22"/>
          <w:szCs w:val="22"/>
        </w:rPr>
      </w:pPr>
    </w:p>
    <w:p w14:paraId="78CF53BC" w14:textId="2DD03793" w:rsidR="001C1C8A" w:rsidRPr="001C1C8A" w:rsidRDefault="001C1C8A" w:rsidP="001C1C8A">
      <w:pPr>
        <w:jc w:val="both"/>
        <w:rPr>
          <w:rFonts w:ascii="Arial" w:hAnsi="Arial" w:cs="Arial"/>
          <w:sz w:val="22"/>
          <w:szCs w:val="22"/>
        </w:rPr>
      </w:pPr>
      <w:r w:rsidRPr="001C1C8A">
        <w:rPr>
          <w:rFonts w:ascii="Arial" w:hAnsi="Arial" w:cs="Arial"/>
          <w:b/>
          <w:bCs/>
          <w:sz w:val="22"/>
          <w:szCs w:val="22"/>
        </w:rPr>
        <w:t>MODULO 4</w:t>
      </w:r>
    </w:p>
    <w:p w14:paraId="44CC3CDF"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rPr>
        <w:t>ACTOS PROCESALES Y PRINCIPIOS</w:t>
      </w:r>
    </w:p>
    <w:p w14:paraId="6A480E4D" w14:textId="77777777" w:rsidR="001C1C8A" w:rsidRPr="001C1C8A" w:rsidRDefault="001C1C8A" w:rsidP="001C1C8A">
      <w:pPr>
        <w:jc w:val="both"/>
        <w:rPr>
          <w:rFonts w:ascii="Arial" w:hAnsi="Arial" w:cs="Arial"/>
          <w:sz w:val="22"/>
          <w:szCs w:val="22"/>
        </w:rPr>
      </w:pPr>
      <w:r w:rsidRPr="001C1C8A">
        <w:rPr>
          <w:rFonts w:ascii="Arial" w:hAnsi="Arial" w:cs="Arial"/>
          <w:i/>
          <w:iCs/>
          <w:sz w:val="22"/>
          <w:szCs w:val="22"/>
        </w:rPr>
        <w:t>"La Mecánica del Proceso"</w:t>
      </w:r>
    </w:p>
    <w:p w14:paraId="69599143"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CAPSULA 4.1</w:t>
      </w:r>
    </w:p>
    <w:p w14:paraId="2C26A9C2"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LOS PRINCIPIOS DEL DEBIDO PROCESO (Art. 29 C.P.)</w:t>
      </w:r>
    </w:p>
    <w:p w14:paraId="624B38F6" w14:textId="77777777" w:rsidR="001C1C8A" w:rsidRPr="001C1C8A" w:rsidRDefault="001C1C8A" w:rsidP="001C1C8A">
      <w:pPr>
        <w:jc w:val="both"/>
        <w:rPr>
          <w:rFonts w:ascii="Arial" w:hAnsi="Arial" w:cs="Arial"/>
          <w:b/>
          <w:bCs/>
          <w:sz w:val="22"/>
          <w:szCs w:val="22"/>
        </w:rPr>
      </w:pPr>
    </w:p>
    <w:p w14:paraId="7AD52C20"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4.1.1 El Articulo 29 de la Constitución: El Gran Paraguas Procesal</w:t>
      </w:r>
    </w:p>
    <w:p w14:paraId="5F0AC401"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El artículo 29 de la Constitución Política de Colombia de 1991 es la norma más importante de todo el Derecho Procesal colombiano. Es el 'gran paraguas' que cubre todas las actuaciones judiciales y administrativas del país. Dice: 'El debido proceso se aplicara a toda clase de actuaciones judiciales y administrativas.'</w:t>
      </w:r>
    </w:p>
    <w:p w14:paraId="3B0E4849" w14:textId="77777777" w:rsidR="001C1C8A" w:rsidRPr="001C1C8A" w:rsidRDefault="001C1C8A" w:rsidP="001C1C8A">
      <w:pPr>
        <w:jc w:val="both"/>
        <w:rPr>
          <w:rFonts w:ascii="Arial" w:hAnsi="Arial" w:cs="Arial"/>
          <w:sz w:val="22"/>
          <w:szCs w:val="22"/>
        </w:rPr>
      </w:pPr>
    </w:p>
    <w:p w14:paraId="2DF7DDE8"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Este articulo no es solo una declaración retorica: la Corte Constitucional ha construido a lo largo de más de tres décadas una sólida jurisprudencia sobre su alcance. Hoy sabemos que el debido proceso no es una garantía única sino un haz de garantías específicas, cada una con contenido propio y exigible autónomamente via acción de tutela.</w:t>
      </w:r>
    </w:p>
    <w:p w14:paraId="1908C867"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1C1C8A" w:rsidRPr="001C1C8A" w14:paraId="304F9A7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00FCD6F6"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EL CONTENIDO DEL ARTICULO 29 C.P.: GARANTÍAS ESPECIFICAS</w:t>
            </w:r>
          </w:p>
          <w:p w14:paraId="7ECF500A"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1. LEGALIDAD: </w:t>
            </w:r>
            <w:r w:rsidRPr="001C1C8A">
              <w:rPr>
                <w:rFonts w:ascii="Arial" w:hAnsi="Arial" w:cs="Arial"/>
                <w:sz w:val="22"/>
                <w:szCs w:val="22"/>
              </w:rPr>
              <w:t>'Nadie podrá ser juzgado sino conforme a leyes preexistentes al acto que se le imputa.' En materia civil: solo las normas procesales vigentes al momento de los actos pueden exigirse. No hay retroactividad procesal desfavorable.</w:t>
            </w:r>
          </w:p>
          <w:p w14:paraId="723E8412" w14:textId="77777777" w:rsidR="001C1C8A" w:rsidRPr="001C1C8A" w:rsidRDefault="001C1C8A" w:rsidP="00DD2DD5">
            <w:pPr>
              <w:jc w:val="both"/>
              <w:rPr>
                <w:rFonts w:ascii="Arial" w:hAnsi="Arial" w:cs="Arial"/>
                <w:sz w:val="22"/>
                <w:szCs w:val="22"/>
              </w:rPr>
            </w:pPr>
          </w:p>
          <w:p w14:paraId="635D9641"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2. JUEZ NATURAL: </w:t>
            </w:r>
            <w:r w:rsidRPr="001C1C8A">
              <w:rPr>
                <w:rFonts w:ascii="Arial" w:hAnsi="Arial" w:cs="Arial"/>
                <w:sz w:val="22"/>
                <w:szCs w:val="22"/>
              </w:rPr>
              <w:t>'Nadie podrá ser juzgado sino... ante juez o tribunal competente.' Nadie puede ser procesado por jueces de excepción o especiales no previstos en la Constitución. El juez debe ser predeterminado por la ley, no designado para el caso concreto.</w:t>
            </w:r>
          </w:p>
          <w:p w14:paraId="185A353A" w14:textId="77777777" w:rsidR="001C1C8A" w:rsidRPr="001C1C8A" w:rsidRDefault="001C1C8A" w:rsidP="00DD2DD5">
            <w:pPr>
              <w:jc w:val="both"/>
              <w:rPr>
                <w:rFonts w:ascii="Arial" w:hAnsi="Arial" w:cs="Arial"/>
                <w:sz w:val="22"/>
                <w:szCs w:val="22"/>
              </w:rPr>
            </w:pPr>
          </w:p>
          <w:p w14:paraId="57B89DFA"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3. FAVORABILIDAD: </w:t>
            </w:r>
            <w:r w:rsidRPr="001C1C8A">
              <w:rPr>
                <w:rFonts w:ascii="Arial" w:hAnsi="Arial" w:cs="Arial"/>
                <w:sz w:val="22"/>
                <w:szCs w:val="22"/>
              </w:rPr>
              <w:t>'En materia penal la ley permisiva o favorable, aun cuando sea posterior, se aplicara de preferencia a la restrictiva o desfavorable.' Este principio opera principalmente en penal, pero la doctrina y jurisprudencia lo extienden analógicamente al derecho sancionatorio en general.</w:t>
            </w:r>
          </w:p>
          <w:p w14:paraId="60916A97" w14:textId="77777777" w:rsidR="001C1C8A" w:rsidRPr="001C1C8A" w:rsidRDefault="001C1C8A" w:rsidP="00DD2DD5">
            <w:pPr>
              <w:jc w:val="both"/>
              <w:rPr>
                <w:rFonts w:ascii="Arial" w:hAnsi="Arial" w:cs="Arial"/>
                <w:sz w:val="22"/>
                <w:szCs w:val="22"/>
              </w:rPr>
            </w:pPr>
          </w:p>
          <w:p w14:paraId="45B31CD7"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4. PRESUNCIÓN DE INOCENCIA: </w:t>
            </w:r>
            <w:r w:rsidRPr="001C1C8A">
              <w:rPr>
                <w:rFonts w:ascii="Arial" w:hAnsi="Arial" w:cs="Arial"/>
                <w:sz w:val="22"/>
                <w:szCs w:val="22"/>
              </w:rPr>
              <w:t>'Toda persona se presume inocente mientras no se la haya declarado judicialmente culpable.' En materia civil, su analogía es la presunción de buena fe contractual y la carga de la prueba en cabeza del demandante.</w:t>
            </w:r>
          </w:p>
          <w:p w14:paraId="036632DC" w14:textId="77777777" w:rsidR="001C1C8A" w:rsidRPr="001C1C8A" w:rsidRDefault="001C1C8A" w:rsidP="00DD2DD5">
            <w:pPr>
              <w:jc w:val="both"/>
              <w:rPr>
                <w:rFonts w:ascii="Arial" w:hAnsi="Arial" w:cs="Arial"/>
                <w:sz w:val="22"/>
                <w:szCs w:val="22"/>
              </w:rPr>
            </w:pPr>
          </w:p>
          <w:p w14:paraId="02B9D1BB"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5. DEFENSA Y ASISTENCIA DE ABOGADO: </w:t>
            </w:r>
            <w:r w:rsidRPr="001C1C8A">
              <w:rPr>
                <w:rFonts w:ascii="Arial" w:hAnsi="Arial" w:cs="Arial"/>
                <w:sz w:val="22"/>
                <w:szCs w:val="22"/>
              </w:rPr>
              <w:t>Derecho a presentar pruebas, controvertir las del adversario, impugnar las sentencias e interponer recursos. Es el núcleo del derecho de contradicción estudiado en el Módulo 1.</w:t>
            </w:r>
          </w:p>
          <w:p w14:paraId="2DAFA211" w14:textId="77777777" w:rsidR="001C1C8A" w:rsidRPr="001C1C8A" w:rsidRDefault="001C1C8A" w:rsidP="00DD2DD5">
            <w:pPr>
              <w:jc w:val="both"/>
              <w:rPr>
                <w:rFonts w:ascii="Arial" w:hAnsi="Arial" w:cs="Arial"/>
                <w:sz w:val="22"/>
                <w:szCs w:val="22"/>
              </w:rPr>
            </w:pPr>
          </w:p>
          <w:p w14:paraId="45E92352"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6. DOBLE INSTANCIA: </w:t>
            </w:r>
            <w:r w:rsidRPr="001C1C8A">
              <w:rPr>
                <w:rFonts w:ascii="Arial" w:hAnsi="Arial" w:cs="Arial"/>
                <w:sz w:val="22"/>
                <w:szCs w:val="22"/>
              </w:rPr>
              <w:t>Toda sentencia judicial puede ser apelada o consultada ante el superior. Nadie puede ser condenado de manera definitiva sin que exista la posibilidad de revision por un tribunal superior. Art. 31 C.P.</w:t>
            </w:r>
          </w:p>
          <w:p w14:paraId="1BFCD3AA" w14:textId="77777777" w:rsidR="001C1C8A" w:rsidRPr="001C1C8A" w:rsidRDefault="001C1C8A" w:rsidP="00DD2DD5">
            <w:pPr>
              <w:jc w:val="both"/>
              <w:rPr>
                <w:rFonts w:ascii="Arial" w:hAnsi="Arial" w:cs="Arial"/>
                <w:sz w:val="22"/>
                <w:szCs w:val="22"/>
              </w:rPr>
            </w:pPr>
          </w:p>
          <w:p w14:paraId="4D50D030"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7. NON BIS IN ÍDEM: </w:t>
            </w:r>
            <w:r w:rsidRPr="001C1C8A">
              <w:rPr>
                <w:rFonts w:ascii="Arial" w:hAnsi="Arial" w:cs="Arial"/>
                <w:sz w:val="22"/>
                <w:szCs w:val="22"/>
              </w:rPr>
              <w:t>'El sindicado... no podrá ser juzgado dos veces por el mismo hecho.' En materia civil, se expresa en la figura de la COSA JUZGADA: lo decidido en sentencia ejecutoriada es inmutable e irrepetible.</w:t>
            </w:r>
          </w:p>
        </w:tc>
      </w:tr>
    </w:tbl>
    <w:p w14:paraId="78E525E2" w14:textId="77777777" w:rsidR="001C1C8A" w:rsidRPr="001C1C8A" w:rsidRDefault="001C1C8A" w:rsidP="001C1C8A">
      <w:pPr>
        <w:jc w:val="both"/>
        <w:rPr>
          <w:rFonts w:ascii="Arial" w:hAnsi="Arial" w:cs="Arial"/>
          <w:sz w:val="22"/>
          <w:szCs w:val="22"/>
        </w:rPr>
      </w:pPr>
    </w:p>
    <w:p w14:paraId="09EB55D4"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4.1.2 El Principio de Legalidad Procesal</w:t>
      </w:r>
    </w:p>
    <w:p w14:paraId="244849E9"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lastRenderedPageBreak/>
        <w:t>El principio de legalidad en el proceso civil colombiano significa que las actuaciones judiciales deben sujetarse estrictamente a las formas y procedimientos establecidos por la ley. Esta exigencia no es un formalismo vacio: es la garantía de que todos los ciudadanos conocen de antemano las reglas del juego procesal y que el juez no puede inventar procedimientos.</w:t>
      </w:r>
    </w:p>
    <w:p w14:paraId="04482359"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El artículo 12 del CGP lo precisa: 'Las normas procesales son de derecho público y de orden público y, por consiguiente, de obligatorio cumplimiento, y en ninguna circunstancia pueden ser derogadas, modificadas o sustituidas por los funcionarios o particulares, salvo autorización expresa de la ley.'</w:t>
      </w:r>
    </w:p>
    <w:p w14:paraId="5E80CD8B" w14:textId="77777777" w:rsidR="001C1C8A" w:rsidRPr="001C1C8A" w:rsidRDefault="001C1C8A" w:rsidP="001C1C8A">
      <w:pPr>
        <w:jc w:val="both"/>
        <w:rPr>
          <w:rFonts w:ascii="Arial" w:hAnsi="Arial" w:cs="Arial"/>
          <w:sz w:val="22"/>
          <w:szCs w:val="22"/>
        </w:rPr>
      </w:pPr>
    </w:p>
    <w:p w14:paraId="0E5A40E4"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4.1.3 El Juez Natural en el Proceso Civil</w:t>
      </w:r>
    </w:p>
    <w:p w14:paraId="377813D1"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En materia civil, el principio del juez natural significa que la competencia del juez debe estar predeterminada por la ley (los factores del CGP estudiados en el Módulo 2) ANTES de que surja el conflicto. El Estado no puede crear un juez especial para un caso particular.</w:t>
      </w:r>
    </w:p>
    <w:p w14:paraId="149CFA1E"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La Corte Constitucional ha extendido este principio para prohibir las denominadas 'comisiones ad hoc': designaciones extraordinarias de jueces para procesos concretos que no cumplen con los requisitos de independencia e imparcialidad que la Constitución exige.</w:t>
      </w:r>
    </w:p>
    <w:p w14:paraId="6534056C" w14:textId="77777777" w:rsidR="001C1C8A" w:rsidRPr="001C1C8A" w:rsidRDefault="001C1C8A" w:rsidP="001C1C8A">
      <w:pPr>
        <w:jc w:val="both"/>
        <w:rPr>
          <w:rFonts w:ascii="Arial" w:hAnsi="Arial" w:cs="Arial"/>
          <w:sz w:val="22"/>
          <w:szCs w:val="22"/>
        </w:rPr>
      </w:pPr>
    </w:p>
    <w:p w14:paraId="17C0E6BD"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4.1.4 La Doble Instancia como Garantía Civil</w:t>
      </w:r>
    </w:p>
    <w:p w14:paraId="5E60A6B7"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El artículo 31 de la Constitución consagra la doble instancia: toda sentencia puede ser apelada o consultada ante el superior jerárquico. En materia civil, la doble instancia se materializa a través del recurso de apelación (Art. 321 CGP).</w:t>
      </w:r>
    </w:p>
    <w:p w14:paraId="3CE8B450"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Sin embargo, la propia Constitución permite excepciones: el legislador puede crear procesos de única instancia cuando haya justificación razonable. El CGP lo hace para los procesos verbales sumarios de minima cuantia (Art. 390 CGP). La Corte Constitucional ha declarado estas excepciones exequibles cuando responden a criterios de celeridad y descongestión judicial.</w:t>
      </w:r>
    </w:p>
    <w:p w14:paraId="465A483D" w14:textId="77777777" w:rsidR="001C1C8A" w:rsidRPr="001C1C8A" w:rsidRDefault="001C1C8A" w:rsidP="001C1C8A">
      <w:pPr>
        <w:jc w:val="both"/>
        <w:rPr>
          <w:rFonts w:ascii="Arial" w:hAnsi="Arial" w:cs="Arial"/>
          <w:sz w:val="22"/>
          <w:szCs w:val="22"/>
        </w:rPr>
      </w:pPr>
    </w:p>
    <w:p w14:paraId="10922A93"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CAPSULA 4.2</w:t>
      </w:r>
    </w:p>
    <w:p w14:paraId="5277F7C8"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PRINCIPIO DE ORALIDAD Y PUBLICIDAD: EL NUEVO PARADIGMA</w:t>
      </w:r>
    </w:p>
    <w:p w14:paraId="5F699E34" w14:textId="77777777" w:rsidR="001C1C8A" w:rsidRPr="001C1C8A" w:rsidRDefault="001C1C8A" w:rsidP="001C1C8A">
      <w:pPr>
        <w:jc w:val="both"/>
        <w:rPr>
          <w:rFonts w:ascii="Arial" w:hAnsi="Arial" w:cs="Arial"/>
          <w:sz w:val="22"/>
          <w:szCs w:val="22"/>
        </w:rPr>
      </w:pPr>
    </w:p>
    <w:p w14:paraId="71E715F7"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4.2.1 Del Proceso Escrito al Proceso Oral: Una Revolución en Colombia</w:t>
      </w:r>
    </w:p>
    <w:p w14:paraId="4942A635"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Hasta el 1 de enero de 2016, cuando entró en vigencia el Código General del Proceso en todo el país, Colombia tenía un proceso civil fundamentalmente ESCRITO y SECRETO. Las partes presentaban documentos escritos, el juez decidía leyendo expedientes a veces de miles de fojas, y los ciudadanos poco conocían de lo que ocurría en sus propios procesos.</w:t>
      </w:r>
    </w:p>
    <w:p w14:paraId="1CEF144D"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El CGP (Ley 1564 de 2012) introdujo un cambio de paradigma histórico: el proceso civil colombiano es ahora predominantemente ORAL, desarrollado en AUDIENCIAS PUBLICAS, con inmediación del juez y concentración de las actuaciones. Este cambio no fue solo técnico; fue filosófico: el proceso debe ser un dialogo abierto, no un intercambio de papeles entre oficinas.</w:t>
      </w:r>
    </w:p>
    <w:p w14:paraId="1AEA87AC"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4.2.2 El Principio de Oralidad (Arts. 3 y 107 CGP)</w:t>
      </w:r>
    </w:p>
    <w:p w14:paraId="32637FB7"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El artículo 3 del CGP establece la oralidad como principio rector: las audiencias y diligencias se realizaran en forma oral. Las actuaciones que la ley autorice presentar por escrito son la excepción, no la regla.</w:t>
      </w:r>
    </w:p>
    <w:p w14:paraId="2E276C18"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1C1C8A" w:rsidRPr="001C1C8A" w14:paraId="09BFFC6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396A9BAD"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QUE CAMBIA CON LA ORALIDAD</w:t>
            </w:r>
          </w:p>
          <w:tbl>
            <w:tblPr>
              <w:tblW w:w="0" w:type="auto"/>
              <w:tblCellMar>
                <w:top w:w="15" w:type="dxa"/>
                <w:left w:w="15" w:type="dxa"/>
                <w:bottom w:w="15" w:type="dxa"/>
                <w:right w:w="15" w:type="dxa"/>
              </w:tblCellMar>
              <w:tblLook w:val="04A0" w:firstRow="1" w:lastRow="0" w:firstColumn="1" w:lastColumn="0" w:noHBand="0" w:noVBand="1"/>
            </w:tblPr>
            <w:tblGrid>
              <w:gridCol w:w="3226"/>
              <w:gridCol w:w="5192"/>
            </w:tblGrid>
            <w:tr w:rsidR="001C1C8A" w:rsidRPr="001C1C8A" w14:paraId="2260694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49E31636"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lastRenderedPageBreak/>
                    <w:t>PROCESO ESCRITO ANTERIOR</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7D7F1B5"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PROCESO ORAL CGP</w:t>
                  </w:r>
                </w:p>
              </w:tc>
            </w:tr>
            <w:tr w:rsidR="001C1C8A" w:rsidRPr="001C1C8A" w14:paraId="70F01D4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7B45974"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Las partes presentan memoriales escritos para casi todo.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CD8B6F9"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 mayoría de actuaciones se realizan en audiencia verbal.</w:t>
                  </w:r>
                </w:p>
              </w:tc>
            </w:tr>
            <w:tr w:rsidR="001C1C8A" w:rsidRPr="001C1C8A" w14:paraId="04E230B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6A06784"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juez podía no estar presente en las diligencias de prueba.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2AFFF4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INMEDIACIÓN: el juez DEBE estar presente en todas las audiencias (Art. 107 CGP). So pena de nulidad.</w:t>
                  </w:r>
                </w:p>
              </w:tc>
            </w:tr>
            <w:tr w:rsidR="001C1C8A" w:rsidRPr="001C1C8A" w14:paraId="14FCFF0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47302F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Los procesos podían durar 10, 15, 20 años en primera instancia.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B44AF1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CONCENTRACIÓN: el CGP busca que los procesos ordinarios se resuelvan en dos audiencias principales.</w:t>
                  </w:r>
                </w:p>
              </w:tc>
            </w:tr>
            <w:tr w:rsidR="001C1C8A" w:rsidRPr="001C1C8A" w14:paraId="4614B2C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8CFD5D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expediente en papel era el universo del proceso.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84BFC2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sistema informático (Plan de Justicia Digital) y el expediente electrónico son la herramienta principal.</w:t>
                  </w:r>
                </w:p>
              </w:tc>
            </w:tr>
            <w:tr w:rsidR="001C1C8A" w:rsidRPr="001C1C8A" w14:paraId="10D0E8E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31BD4B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 sentencia podía notificarse semanas despues de la audiencia.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DBB2D97"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 sentencia se pronuncia en audiencia, inmediatamente despues del debate (Art. 278 CGP).</w:t>
                  </w:r>
                </w:p>
              </w:tc>
            </w:tr>
          </w:tbl>
          <w:p w14:paraId="3983A0E3" w14:textId="77777777" w:rsidR="001C1C8A" w:rsidRPr="001C1C8A" w:rsidRDefault="001C1C8A" w:rsidP="00DD2DD5">
            <w:pPr>
              <w:jc w:val="both"/>
              <w:rPr>
                <w:rFonts w:ascii="Arial" w:hAnsi="Arial" w:cs="Arial"/>
                <w:sz w:val="22"/>
                <w:szCs w:val="22"/>
              </w:rPr>
            </w:pPr>
          </w:p>
        </w:tc>
      </w:tr>
    </w:tbl>
    <w:p w14:paraId="2543EB3E" w14:textId="77777777" w:rsidR="001C1C8A" w:rsidRPr="001C1C8A" w:rsidRDefault="001C1C8A" w:rsidP="001C1C8A">
      <w:pPr>
        <w:jc w:val="both"/>
        <w:rPr>
          <w:rFonts w:ascii="Arial" w:hAnsi="Arial" w:cs="Arial"/>
          <w:sz w:val="22"/>
          <w:szCs w:val="22"/>
        </w:rPr>
      </w:pPr>
    </w:p>
    <w:p w14:paraId="39A476DA" w14:textId="77777777" w:rsidR="001C1C8A" w:rsidRPr="001C1C8A" w:rsidRDefault="001C1C8A" w:rsidP="001C1C8A">
      <w:pPr>
        <w:jc w:val="both"/>
        <w:rPr>
          <w:rFonts w:ascii="Arial" w:hAnsi="Arial" w:cs="Arial"/>
          <w:b/>
          <w:bCs/>
          <w:sz w:val="22"/>
          <w:szCs w:val="22"/>
          <w:u w:val="single"/>
        </w:rPr>
      </w:pPr>
      <w:r w:rsidRPr="001C1C8A">
        <w:rPr>
          <w:rFonts w:ascii="Arial" w:hAnsi="Arial" w:cs="Arial"/>
          <w:b/>
          <w:bCs/>
          <w:sz w:val="22"/>
          <w:szCs w:val="22"/>
          <w:u w:val="single"/>
        </w:rPr>
        <w:t>4.2.3 Las Dos Audiencias Principales del Proceso Verbal (Arts. 372-373 CGP)</w:t>
      </w:r>
    </w:p>
    <w:p w14:paraId="75704E0D"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El proceso verbal -el proceso tipo del CGP- se desarrolla en dos audiencias principales:</w:t>
      </w:r>
    </w:p>
    <w:p w14:paraId="706F4626"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228"/>
        <w:gridCol w:w="2298"/>
        <w:gridCol w:w="3121"/>
        <w:gridCol w:w="1181"/>
      </w:tblGrid>
      <w:tr w:rsidR="001C1C8A" w:rsidRPr="001C1C8A" w14:paraId="741341B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7E322B4"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AUDIENCIA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FB739D1"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MOMENTO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331EC75"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CONTENIDO PRINCIPAL</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D48FCB2"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NORMA</w:t>
            </w:r>
          </w:p>
        </w:tc>
      </w:tr>
      <w:tr w:rsidR="001C1C8A" w:rsidRPr="001C1C8A" w14:paraId="5EDEA10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1CC9F2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AUDIENCIA INICIAL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201C839"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Primera audiencia. Se realiza una vez contestada la demanda o vencido el termino para hacerlo.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96B099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1. Conciliación (obligatoria). 2. Saneamiento procesal. 3. Fijación del litigio. 4. Decreto de pruebas. 5. Posibilidad de fallo anticipado si no hay pruebas por practicar.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A5D0D92"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372 CGP</w:t>
            </w:r>
          </w:p>
        </w:tc>
      </w:tr>
      <w:tr w:rsidR="001C1C8A" w:rsidRPr="001C1C8A" w14:paraId="0875BFA2"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DD5A294"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AUDIENCIA DE INSTRUCCIÓN Y JUZGAMIENTO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7CAD159"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Segunda audiencia. Posterior a la inicial.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ACE050C"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1. Practica de pruebas decretadas. 2. Alegatos de conclusión de las partes. 3. SENTENCIA (proferida en la misma audiencia o dentro de los 10 dias siguientes).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CA45C4D"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373 CGP</w:t>
            </w:r>
          </w:p>
        </w:tc>
      </w:tr>
    </w:tbl>
    <w:p w14:paraId="28454C2C" w14:textId="77777777" w:rsidR="001C1C8A" w:rsidRPr="001C1C8A" w:rsidRDefault="001C1C8A" w:rsidP="001C1C8A">
      <w:pPr>
        <w:jc w:val="both"/>
        <w:rPr>
          <w:rFonts w:ascii="Arial" w:hAnsi="Arial" w:cs="Arial"/>
          <w:sz w:val="22"/>
          <w:szCs w:val="22"/>
        </w:rPr>
      </w:pPr>
    </w:p>
    <w:p w14:paraId="0587EECF" w14:textId="77777777" w:rsidR="001C1C8A" w:rsidRPr="001C1C8A" w:rsidRDefault="001C1C8A" w:rsidP="001C1C8A">
      <w:pPr>
        <w:jc w:val="both"/>
        <w:rPr>
          <w:rFonts w:ascii="Arial" w:hAnsi="Arial" w:cs="Arial"/>
          <w:b/>
          <w:bCs/>
          <w:sz w:val="22"/>
          <w:szCs w:val="22"/>
          <w:u w:val="single"/>
        </w:rPr>
      </w:pPr>
      <w:r w:rsidRPr="001C1C8A">
        <w:rPr>
          <w:rFonts w:ascii="Arial" w:hAnsi="Arial" w:cs="Arial"/>
          <w:b/>
          <w:bCs/>
          <w:sz w:val="22"/>
          <w:szCs w:val="22"/>
          <w:u w:val="single"/>
        </w:rPr>
        <w:t>4.2.4 El Principio de Publicidad</w:t>
      </w:r>
    </w:p>
    <w:p w14:paraId="4AE11EDD" w14:textId="77777777" w:rsidR="001C1C8A" w:rsidRPr="001C1C8A" w:rsidRDefault="001C1C8A" w:rsidP="001C1C8A">
      <w:pPr>
        <w:jc w:val="both"/>
        <w:rPr>
          <w:rFonts w:ascii="Arial" w:hAnsi="Arial" w:cs="Arial"/>
          <w:sz w:val="22"/>
          <w:szCs w:val="22"/>
        </w:rPr>
      </w:pPr>
    </w:p>
    <w:p w14:paraId="3969EFCF"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El artículo 228 de la Constitución manda que 'Las actuaciones (judiciales) serán publicas'. El CGP desarrollo este mandato en el artículo 107: las audiencias son públicas y cualquier ciudadano puede presenciarlas, salvo excepciones expresas (procesos de familia que involucren menores, o cuando la publicidad afecte el orden público o la intimidad de las partes).</w:t>
      </w:r>
    </w:p>
    <w:p w14:paraId="3021A4C7"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lastRenderedPageBreak/>
        <w:t>La publicidad no es solo un principio abstracto: es una garantía democrática de control ciudadano sobre la administración de justicia. Un juez que sabe que sus decisiones son publicas tiene un incentivo adicional para decidir correctamente y motivar sus providencias.</w:t>
      </w:r>
    </w:p>
    <w:p w14:paraId="15BB3233" w14:textId="77777777" w:rsidR="001C1C8A" w:rsidRPr="001C1C8A" w:rsidRDefault="001C1C8A" w:rsidP="001C1C8A">
      <w:pPr>
        <w:jc w:val="both"/>
        <w:rPr>
          <w:rFonts w:ascii="Arial" w:hAnsi="Arial" w:cs="Arial"/>
          <w:sz w:val="22"/>
          <w:szCs w:val="22"/>
        </w:rPr>
      </w:pPr>
    </w:p>
    <w:p w14:paraId="49818214"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CAPSULA 4.3</w:t>
      </w:r>
    </w:p>
    <w:p w14:paraId="086811E9"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LOS ACTOS PROCESALES: REQUISITOS DE VALIDEZ</w:t>
      </w:r>
    </w:p>
    <w:p w14:paraId="1B83C68D" w14:textId="77777777" w:rsidR="001C1C8A" w:rsidRPr="001C1C8A" w:rsidRDefault="001C1C8A" w:rsidP="001C1C8A">
      <w:pPr>
        <w:jc w:val="both"/>
        <w:rPr>
          <w:rFonts w:ascii="Arial" w:hAnsi="Arial" w:cs="Arial"/>
          <w:sz w:val="22"/>
          <w:szCs w:val="22"/>
        </w:rPr>
      </w:pPr>
    </w:p>
    <w:p w14:paraId="2964DDD3"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4.3.1 Que es un Acto Procesal?</w:t>
      </w:r>
    </w:p>
    <w:p w14:paraId="1D9EAFE3"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Un ACTO PROCESAL es toda manifestación de voluntad de los sujetos del proceso -juez, partes, auxiliares- que produce efectos jurídicos dentro de él. Desde la presentación de la demanda hasta la sentencia definitiva, el proceso es una cadena de actos procesales, cada uno de los cuales debe cumplir ciertos requisitos para ser valido.</w:t>
      </w:r>
    </w:p>
    <w:p w14:paraId="6BCE4ED6" w14:textId="77777777" w:rsidR="001C1C8A" w:rsidRPr="001C1C8A" w:rsidRDefault="001C1C8A" w:rsidP="001C1C8A">
      <w:pPr>
        <w:jc w:val="both"/>
        <w:rPr>
          <w:rFonts w:ascii="Arial" w:hAnsi="Arial" w:cs="Arial"/>
          <w:sz w:val="22"/>
          <w:szCs w:val="22"/>
        </w:rPr>
      </w:pPr>
    </w:p>
    <w:p w14:paraId="64B34A7F"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El Derecho Procesal clasifica los actos procesales según quien los realiza: actos del juez (autos y sentencias), actos de las partes (demanda, contestación, recursos) y actos de terceros (dictamen pericial, testimonio). Cada categoría tiene sus propios requisitos de existencia y validez.</w:t>
      </w:r>
    </w:p>
    <w:p w14:paraId="4D3DD38F" w14:textId="77777777" w:rsidR="001C1C8A" w:rsidRPr="001C1C8A" w:rsidRDefault="001C1C8A" w:rsidP="001C1C8A">
      <w:pPr>
        <w:jc w:val="both"/>
        <w:rPr>
          <w:rFonts w:ascii="Arial" w:hAnsi="Arial" w:cs="Arial"/>
          <w:sz w:val="22"/>
          <w:szCs w:val="22"/>
        </w:rPr>
      </w:pPr>
    </w:p>
    <w:p w14:paraId="57EA0497"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4.3.2 Existencia vs. Validez de los Actos Procesales</w:t>
      </w:r>
    </w:p>
    <w:p w14:paraId="47BF076C"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Antes de analizar los requisitos de validez, debemos distinguir dos planos:</w:t>
      </w:r>
    </w:p>
    <w:p w14:paraId="068C89AA"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1C1C8A" w:rsidRPr="001C1C8A" w14:paraId="18274BA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5889E08D"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EXISTENCIA vs. VALIDEZ DEL ACTO PROCESAL</w:t>
            </w:r>
          </w:p>
          <w:p w14:paraId="3C7857FD"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EXISTENCIA: </w:t>
            </w:r>
            <w:r w:rsidRPr="001C1C8A">
              <w:rPr>
                <w:rFonts w:ascii="Arial" w:hAnsi="Arial" w:cs="Arial"/>
                <w:sz w:val="22"/>
                <w:szCs w:val="22"/>
              </w:rPr>
              <w:t>Un acto procesal EXISTE cuando reúne los elementos mínimos que la ley exige para que sea reconocido como tal. Si no existe, no produce efecto alguno: es como si nunca hubiera ocurrido. Ej.: una sentencia firmada por alguien que no es juez, simplemente no existe como sentencia.</w:t>
            </w:r>
          </w:p>
          <w:p w14:paraId="6FD46BC9" w14:textId="77777777" w:rsidR="001C1C8A" w:rsidRPr="001C1C8A" w:rsidRDefault="001C1C8A" w:rsidP="00DD2DD5">
            <w:pPr>
              <w:jc w:val="both"/>
              <w:rPr>
                <w:rFonts w:ascii="Arial" w:hAnsi="Arial" w:cs="Arial"/>
                <w:sz w:val="22"/>
                <w:szCs w:val="22"/>
              </w:rPr>
            </w:pPr>
          </w:p>
          <w:p w14:paraId="4337E6EB"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VALIDEZ: </w:t>
            </w:r>
            <w:r w:rsidRPr="001C1C8A">
              <w:rPr>
                <w:rFonts w:ascii="Arial" w:hAnsi="Arial" w:cs="Arial"/>
                <w:sz w:val="22"/>
                <w:szCs w:val="22"/>
              </w:rPr>
              <w:t>Un acto procesal existe pero puede ser INVALIDO si fue realizado con vicios o defectos que la ley sanciona con nulidad. El acto invalido existe pero sus efectos deben ser eliminados mediante la declaratoria de nulidad. Ej.: una sentencia dictada por un juez incompetente existe, pero es nula.</w:t>
            </w:r>
          </w:p>
          <w:p w14:paraId="52A2AA99" w14:textId="77777777" w:rsidR="001C1C8A" w:rsidRPr="001C1C8A" w:rsidRDefault="001C1C8A" w:rsidP="00DD2DD5">
            <w:pPr>
              <w:jc w:val="both"/>
              <w:rPr>
                <w:rFonts w:ascii="Arial" w:hAnsi="Arial" w:cs="Arial"/>
                <w:sz w:val="22"/>
                <w:szCs w:val="22"/>
              </w:rPr>
            </w:pPr>
          </w:p>
          <w:p w14:paraId="457798A2"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 diferencia practica es enorme: la inexistencia no requiere ser declarada (el acto simplemente no cuenta), mientras que la nulidad debe ser alegada y declarada por el juez, y tiene plazos para sanearse o alegarse.</w:t>
            </w:r>
          </w:p>
        </w:tc>
      </w:tr>
    </w:tbl>
    <w:p w14:paraId="368E267A" w14:textId="77777777" w:rsidR="001C1C8A" w:rsidRPr="001C1C8A" w:rsidRDefault="001C1C8A" w:rsidP="001C1C8A">
      <w:pPr>
        <w:jc w:val="both"/>
        <w:rPr>
          <w:rFonts w:ascii="Arial" w:hAnsi="Arial" w:cs="Arial"/>
          <w:sz w:val="22"/>
          <w:szCs w:val="22"/>
        </w:rPr>
      </w:pPr>
    </w:p>
    <w:p w14:paraId="0666E3E0" w14:textId="77777777" w:rsidR="001C1C8A" w:rsidRPr="001C1C8A" w:rsidRDefault="001C1C8A" w:rsidP="001C1C8A">
      <w:pPr>
        <w:jc w:val="both"/>
        <w:rPr>
          <w:rFonts w:ascii="Arial" w:hAnsi="Arial" w:cs="Arial"/>
          <w:b/>
          <w:bCs/>
          <w:sz w:val="22"/>
          <w:szCs w:val="22"/>
          <w:u w:val="single"/>
        </w:rPr>
      </w:pPr>
      <w:r w:rsidRPr="001C1C8A">
        <w:rPr>
          <w:rFonts w:ascii="Arial" w:hAnsi="Arial" w:cs="Arial"/>
          <w:b/>
          <w:bCs/>
          <w:sz w:val="22"/>
          <w:szCs w:val="22"/>
          <w:u w:val="single"/>
        </w:rPr>
        <w:t>4.3.3 Requisitos de Validez de los Actos Procesales</w:t>
      </w:r>
    </w:p>
    <w:p w14:paraId="3440BBC7" w14:textId="77777777" w:rsidR="001C1C8A" w:rsidRPr="001C1C8A" w:rsidRDefault="001C1C8A" w:rsidP="001C1C8A">
      <w:pPr>
        <w:jc w:val="both"/>
        <w:rPr>
          <w:rFonts w:ascii="Arial" w:hAnsi="Arial" w:cs="Arial"/>
          <w:sz w:val="22"/>
          <w:szCs w:val="22"/>
        </w:rPr>
      </w:pPr>
    </w:p>
    <w:p w14:paraId="32708BFF"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Todo acto procesal valido debe cumplir tres requisitos esenciales:</w:t>
      </w:r>
    </w:p>
    <w:p w14:paraId="22B79326"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108"/>
        <w:gridCol w:w="3753"/>
        <w:gridCol w:w="2967"/>
      </w:tblGrid>
      <w:tr w:rsidR="001C1C8A" w:rsidRPr="001C1C8A" w14:paraId="33F9801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794E6A7"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REQUISITO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6618A4F"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CONTENIDO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703B312"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VICIO QUE GENERA SU AUSENCIA</w:t>
            </w:r>
          </w:p>
        </w:tc>
      </w:tr>
      <w:tr w:rsidR="001C1C8A" w:rsidRPr="001C1C8A" w14:paraId="0689721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5B50327"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1. VOLUNTAD (LIBRE Y CONSCIENTE)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C46932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acto debe ser fruto de una voluntad libre, sin violencia, dolo o error esencial. El apoderado debe actuar dentro de los límites de su mandato.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A87606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Nulidad del acto. Posible responsabilidad disciplinaria del abogado que actúa fuera del mandato.</w:t>
            </w:r>
          </w:p>
        </w:tc>
      </w:tr>
      <w:tr w:rsidR="001C1C8A" w:rsidRPr="001C1C8A" w14:paraId="38D09A6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1E976D9"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lastRenderedPageBreak/>
              <w:t>2. FORMA (MODO Y LUGAR)</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4815506"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Cada acto procesal tiene una forma prescrita por la ley: las demandas deben tener determinados requisitos, los autos deben ser motivados, las notificaciones deben seguir el procedimiento legal.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0A79A21"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Nulidad del acto (si la forma es sustancial) o inadmisión del escrito (si es un defecto formal subsanable).</w:t>
            </w:r>
          </w:p>
        </w:tc>
      </w:tr>
      <w:tr w:rsidR="001C1C8A" w:rsidRPr="001C1C8A" w14:paraId="2C86F08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5BF9CDC"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3. TIEMPO (TERMINO PROCESAL)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2F1818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Cada acto procesal debe realizarse dentro del término o plazo que la ley o el juez le asigna. Los términos son fatales en la mayoría de los casos.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6022D0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PRECLUSIÓN: el derecho a realizar el acto se extingue por el paso del tiempo. El acto extemporáneo es ineficaz.</w:t>
            </w:r>
          </w:p>
        </w:tc>
      </w:tr>
    </w:tbl>
    <w:p w14:paraId="4FC5B28C" w14:textId="77777777" w:rsidR="001C1C8A" w:rsidRPr="001C1C8A" w:rsidRDefault="001C1C8A" w:rsidP="001C1C8A">
      <w:pPr>
        <w:jc w:val="both"/>
        <w:rPr>
          <w:rFonts w:ascii="Arial" w:hAnsi="Arial" w:cs="Arial"/>
          <w:sz w:val="22"/>
          <w:szCs w:val="22"/>
        </w:rPr>
      </w:pPr>
    </w:p>
    <w:p w14:paraId="6E5F8058"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4.3.4 Las Nulidades Procesales (Arts. 133-138 CGP)</w:t>
      </w:r>
    </w:p>
    <w:p w14:paraId="60CBA7DA"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Cuando un acto procesal se realiza con vicios esenciales, la sanción es la NULIDAD. El CGP de 2012 adopto un sistema restrictivo de nulidades: no toda irregularidad genera nulidad, sino solo aquellas expresamente previstas en la ley (principio de especificidad) y que causen efectivo perjuicio a alguna de las partes (principio de trascendencia).</w:t>
      </w:r>
    </w:p>
    <w:p w14:paraId="7FF34802"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1633"/>
        <w:gridCol w:w="2292"/>
        <w:gridCol w:w="2725"/>
        <w:gridCol w:w="2178"/>
      </w:tblGrid>
      <w:tr w:rsidR="001C1C8A" w:rsidRPr="001C1C8A" w14:paraId="5E504BE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31E718F"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TIPO DE NULIDAD</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1F7461A"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6493466"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EJEMPLO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16C2EE7"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PUEDE SANEARSE?</w:t>
            </w:r>
          </w:p>
        </w:tc>
      </w:tr>
      <w:tr w:rsidR="001C1C8A" w:rsidRPr="001C1C8A" w14:paraId="2242B15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97BC93C"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INSANABLE (Art. 133 CGP)</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CE3DC1D"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Vicios tan graves que no pueden ser perdonados por las partes ni por el paso del tiempo.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C800BC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Falta de jurisdicción o competencia absoluta (factor objetivo/funcional). Indebida representación del demandado.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7513A9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NO. Puede declararse en cualquier estado del proceso.</w:t>
            </w:r>
          </w:p>
        </w:tc>
      </w:tr>
      <w:tr w:rsidR="001C1C8A" w:rsidRPr="001C1C8A" w14:paraId="20E9303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39B213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SANABLE (Art. 134 CGP)</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155179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Vicios que pueden ser perdonados expresa o tácitamente por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875C328"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Falta de competencia territorial. Citación incompleta. Indebida notificación.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8CCB93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SI. Se sanea si la parte a quien perjudica no la alega oportunamente.</w:t>
            </w:r>
          </w:p>
        </w:tc>
      </w:tr>
    </w:tbl>
    <w:p w14:paraId="2CEC9124" w14:textId="77777777" w:rsidR="001C1C8A" w:rsidRPr="001C1C8A" w:rsidRDefault="001C1C8A" w:rsidP="001C1C8A">
      <w:pPr>
        <w:jc w:val="both"/>
        <w:rPr>
          <w:rFonts w:ascii="Arial" w:hAnsi="Arial" w:cs="Arial"/>
          <w:sz w:val="22"/>
          <w:szCs w:val="22"/>
        </w:rPr>
      </w:pPr>
    </w:p>
    <w:p w14:paraId="0A88EB06"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CAPSULA 4.4</w:t>
      </w:r>
    </w:p>
    <w:p w14:paraId="41ACE998"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LA DEMANDA Y SU ADMISIÓN</w:t>
      </w:r>
    </w:p>
    <w:p w14:paraId="218A50B3" w14:textId="77777777" w:rsidR="001C1C8A" w:rsidRPr="001C1C8A" w:rsidRDefault="001C1C8A" w:rsidP="001C1C8A">
      <w:pPr>
        <w:jc w:val="both"/>
        <w:rPr>
          <w:rFonts w:ascii="Arial" w:hAnsi="Arial" w:cs="Arial"/>
          <w:sz w:val="22"/>
          <w:szCs w:val="22"/>
        </w:rPr>
      </w:pPr>
    </w:p>
    <w:p w14:paraId="5246ACC2"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4.4.1 La Demanda: El Acto Procesal Fundante</w:t>
      </w:r>
    </w:p>
    <w:p w14:paraId="7C5E5E1F"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La DEMANDA es el acto procesal por excelencia: es el instrumento mediante el cual el demandante ejercita su acción procesal, formula su pretensión y solicita al Estado la tutela jurisdiccional. Sin demanda no hay proceso. Todo lo que estudiaremos de aqui en adelante tiene como punto de partida este documento.</w:t>
      </w:r>
    </w:p>
    <w:p w14:paraId="4B4DCEB0" w14:textId="77777777" w:rsidR="001C1C8A" w:rsidRPr="001C1C8A" w:rsidRDefault="001C1C8A" w:rsidP="001C1C8A">
      <w:pPr>
        <w:jc w:val="both"/>
        <w:rPr>
          <w:rFonts w:ascii="Arial" w:hAnsi="Arial" w:cs="Arial"/>
          <w:sz w:val="22"/>
          <w:szCs w:val="22"/>
        </w:rPr>
      </w:pPr>
    </w:p>
    <w:p w14:paraId="02FF007F"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El CGP regula la demanda en los artículos 82 a 97. Su estructura no es caprichosa: cada uno de sus requisitos tiene una justificación procesal y práctica. Conocerlos es la primera habilidad técnica que debe tener un abogado litigante.</w:t>
      </w:r>
    </w:p>
    <w:p w14:paraId="0BC2B15A" w14:textId="77777777" w:rsidR="001C1C8A" w:rsidRPr="001C1C8A" w:rsidRDefault="001C1C8A" w:rsidP="001C1C8A">
      <w:pPr>
        <w:jc w:val="both"/>
        <w:rPr>
          <w:rFonts w:ascii="Arial" w:hAnsi="Arial" w:cs="Arial"/>
          <w:sz w:val="22"/>
          <w:szCs w:val="22"/>
        </w:rPr>
      </w:pPr>
    </w:p>
    <w:p w14:paraId="471A796D"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4.4.2 Requisitos de la Demanda (Art. 82 CGP)</w:t>
      </w:r>
    </w:p>
    <w:p w14:paraId="5DB1301D"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lastRenderedPageBreak/>
        <w:t>El artículo 82 del CGP establece el catálogo de requisitos que debe contener toda demanda civil. Estudiemos cada uno con ojos de litigante:</w:t>
      </w:r>
    </w:p>
    <w:tbl>
      <w:tblPr>
        <w:tblW w:w="0" w:type="auto"/>
        <w:tblCellMar>
          <w:top w:w="15" w:type="dxa"/>
          <w:left w:w="15" w:type="dxa"/>
          <w:bottom w:w="15" w:type="dxa"/>
          <w:right w:w="15" w:type="dxa"/>
        </w:tblCellMar>
        <w:tblLook w:val="04A0" w:firstRow="1" w:lastRow="0" w:firstColumn="1" w:lastColumn="0" w:noHBand="0" w:noVBand="1"/>
      </w:tblPr>
      <w:tblGrid>
        <w:gridCol w:w="2446"/>
        <w:gridCol w:w="3438"/>
        <w:gridCol w:w="2944"/>
      </w:tblGrid>
      <w:tr w:rsidR="001C1C8A" w:rsidRPr="001C1C8A" w14:paraId="61918292"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18FBE2B"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REQUISITO (Art. 82 CGP)</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27F7E91"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DESCRIPCIÓN PRACTICA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0275FC2"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CONSECUENCIA DE SU AUSENCIA</w:t>
            </w:r>
          </w:p>
        </w:tc>
      </w:tr>
      <w:tr w:rsidR="001C1C8A" w:rsidRPr="001C1C8A" w14:paraId="1DF1FCA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64B06DD"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1. Designación del juez</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7530E6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encabezado debe indicar el juez al que va dirigida la demanda: 'Señor Juez Civil del Circuito de Bogotá'.</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85B344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Rechazo o inadmisión.</w:t>
            </w:r>
          </w:p>
        </w:tc>
      </w:tr>
      <w:tr w:rsidR="001C1C8A" w:rsidRPr="001C1C8A" w14:paraId="77D9D06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776A9F2"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2. Nombre e identificación de las partes y sus apoderados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E629EDA"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Nombres completos, documentos de identidad, domicilios y datos de contacto del demandante, demandado y apoderado.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874E74A"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Inadmisión. Sin datos del demandado, no puede notificársele.</w:t>
            </w:r>
          </w:p>
        </w:tc>
      </w:tr>
      <w:tr w:rsidR="001C1C8A" w:rsidRPr="001C1C8A" w14:paraId="51A260C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A1D0D67"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3. Nombre del apoderado e indicación del poder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79830B6"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Si actúa por apoderado: nombre del abogado y acompañar el poder o indicar que se adjunta.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4919F8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Inadmisión por falta de poder.</w:t>
            </w:r>
          </w:p>
        </w:tc>
      </w:tr>
      <w:tr w:rsidR="001C1C8A" w:rsidRPr="001C1C8A" w14:paraId="4E72835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D677E7E"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4. Los HECHOS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66C9D8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Narrar de manera clara, ordenada, numerada y precisa los hechos que sirven de fundamento a las pretensiones. Separar cada hecho en un párrafo numerado.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FE56577"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Inadmisión. Hechos oscuros o incompletos impiden determinar la pretensión.</w:t>
            </w:r>
          </w:p>
        </w:tc>
      </w:tr>
      <w:tr w:rsidR="001C1C8A" w:rsidRPr="001C1C8A" w14:paraId="2420DA9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A26477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5. Las PRETENSIONES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98FD74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Las peticiones concretas al juez, claras, precisas y determinadas. Usar lenguaje imperativo: 'solicito que se declare...', 'solicito que se condene 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E418F3D"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Inadmisión. Sin pretensión no hay objeto del proceso.</w:t>
            </w:r>
          </w:p>
        </w:tc>
      </w:tr>
      <w:tr w:rsidR="001C1C8A" w:rsidRPr="001C1C8A" w14:paraId="4254845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B6EE558"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6. Los FUNDAMENTOS DE DERECHO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8611892"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Las normas legales, reglamentarias o jurisprudenciales en que se fundamentan las pretensiones.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FF843FA"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Solo inadmisión si estan completamente ausentes. El juez conoce el derecho.</w:t>
            </w:r>
          </w:p>
        </w:tc>
      </w:tr>
      <w:tr w:rsidR="001C1C8A" w:rsidRPr="001C1C8A" w14:paraId="4699EFE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F66ECF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7. La PETICION DE PRUEBAS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A9E231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Solicitar todas las pruebas que se pretendan hacer valer: documentales, testimoniales, periciales, inspecciones. Es la oportunidad principal del demandante.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FB3FA66"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Las pruebas no solicitadas en la demanda pueden perderse por preclusión (salvo pruebas de oficio).</w:t>
            </w:r>
          </w:p>
        </w:tc>
      </w:tr>
      <w:tr w:rsidR="001C1C8A" w:rsidRPr="001C1C8A" w14:paraId="009502F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A942F88"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8. Estimación de perjuicios (si los hay)</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1F02F0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Si se reclaman perjuicios, deben estimarse o indicarse las bases para su estimación.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647EE7D"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Sin estimación, se tramita como menor cuantia.</w:t>
            </w:r>
          </w:p>
        </w:tc>
      </w:tr>
      <w:tr w:rsidR="001C1C8A" w:rsidRPr="001C1C8A" w14:paraId="3B86881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F9E5646"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9. Manifestación sobre tentativa de conciliación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860B84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 xml:space="preserve">En los procesos donde la conciliación es requisito de </w:t>
            </w:r>
            <w:r w:rsidRPr="001C1C8A">
              <w:rPr>
                <w:rFonts w:ascii="Arial" w:hAnsi="Arial" w:cs="Arial"/>
                <w:sz w:val="22"/>
                <w:szCs w:val="22"/>
              </w:rPr>
              <w:lastRenderedPageBreak/>
              <w:t>procedibilidad, anexar el acta o la constancia de intento fallido.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189B8E2"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lastRenderedPageBreak/>
              <w:t>Rechazo de la demanda si no se cumplió el requisito de procedibilidad.</w:t>
            </w:r>
          </w:p>
        </w:tc>
      </w:tr>
      <w:tr w:rsidR="001C1C8A" w:rsidRPr="001C1C8A" w14:paraId="33C173B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31F0FCE"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10. Lugar y datos de notificación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9AE0F94"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Indicar la dirección física y electrónica donde se notificara al demandante y, si se conoce, al demandado.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5986E05"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Inadmisión. Sin datos de notificación, no puede adelantarse el proceso.</w:t>
            </w:r>
          </w:p>
        </w:tc>
      </w:tr>
    </w:tbl>
    <w:p w14:paraId="1F80C1F2" w14:textId="77777777" w:rsidR="001C1C8A" w:rsidRPr="001C1C8A" w:rsidRDefault="001C1C8A" w:rsidP="001C1C8A">
      <w:pPr>
        <w:jc w:val="both"/>
        <w:rPr>
          <w:rFonts w:ascii="Arial" w:hAnsi="Arial" w:cs="Arial"/>
          <w:sz w:val="22"/>
          <w:szCs w:val="22"/>
        </w:rPr>
      </w:pPr>
    </w:p>
    <w:p w14:paraId="299D1690"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4.4.3 Los Tres Destinos de la Demanda: Admisión, Inadmisión y Rechazo</w:t>
      </w:r>
    </w:p>
    <w:p w14:paraId="0A776E41"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Una vez presentada la demanda, el juez tiene tres opciones. Esta distinción es fundamental y muchos estudiantes la confunden:</w:t>
      </w:r>
    </w:p>
    <w:p w14:paraId="22CD6239"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1C1C8A" w:rsidRPr="001C1C8A" w14:paraId="431ED34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3C3DD76F"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ADMISIÓN, INADMISIÓN Y RECHAZO DE LA DEMANDA</w:t>
            </w:r>
          </w:p>
          <w:p w14:paraId="2B7E960A"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AUTO ADMISORIO (Art. 90 CGP): </w:t>
            </w:r>
            <w:r w:rsidRPr="001C1C8A">
              <w:rPr>
                <w:rFonts w:ascii="Arial" w:hAnsi="Arial" w:cs="Arial"/>
                <w:sz w:val="22"/>
                <w:szCs w:val="22"/>
              </w:rPr>
              <w:t>La demanda cumple con todos los requisitos legales. El juez la admite, ordena la notificación del demandado y el proceso comienza formalmente. Este auto marca el inicio de la relacion juridica procesal.</w:t>
            </w:r>
          </w:p>
          <w:p w14:paraId="324ED9DF" w14:textId="77777777" w:rsidR="001C1C8A" w:rsidRPr="001C1C8A" w:rsidRDefault="001C1C8A" w:rsidP="00DD2DD5">
            <w:pPr>
              <w:jc w:val="both"/>
              <w:rPr>
                <w:rFonts w:ascii="Arial" w:hAnsi="Arial" w:cs="Arial"/>
                <w:sz w:val="22"/>
                <w:szCs w:val="22"/>
              </w:rPr>
            </w:pPr>
          </w:p>
          <w:p w14:paraId="16090A7E"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AUTO ADMISORIO (Art. 90 inc. 2 CGP): </w:t>
            </w:r>
            <w:r w:rsidRPr="001C1C8A">
              <w:rPr>
                <w:rFonts w:ascii="Arial" w:hAnsi="Arial" w:cs="Arial"/>
                <w:sz w:val="22"/>
                <w:szCs w:val="22"/>
              </w:rPr>
              <w:t>La demanda tiene defectos SUBSANABLES: le faltan requisitos formales, los hechos son oscuros, faltan pruebas documentales que debieron acompañarse, etc. El juez le otorga al demandante un plazo de CINCO (5) DIAS para corregir los defectos. Si corrige en tiempo: el juez la admite. Si no corrige o lo hace mal: el juez la rechaza.</w:t>
            </w:r>
          </w:p>
          <w:p w14:paraId="73E44C60" w14:textId="77777777" w:rsidR="001C1C8A" w:rsidRPr="001C1C8A" w:rsidRDefault="001C1C8A" w:rsidP="00DD2DD5">
            <w:pPr>
              <w:jc w:val="both"/>
              <w:rPr>
                <w:rFonts w:ascii="Arial" w:hAnsi="Arial" w:cs="Arial"/>
                <w:sz w:val="22"/>
                <w:szCs w:val="22"/>
              </w:rPr>
            </w:pPr>
          </w:p>
          <w:p w14:paraId="1852FF74"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AUTO DE RECHAZO (Art. 90 inc. 3 CGP): </w:t>
            </w:r>
            <w:r w:rsidRPr="001C1C8A">
              <w:rPr>
                <w:rFonts w:ascii="Arial" w:hAnsi="Arial" w:cs="Arial"/>
                <w:sz w:val="22"/>
                <w:szCs w:val="22"/>
              </w:rPr>
              <w:t>La demanda tiene defectos INSUBSANABLES o el demandante no corrigió en el plazo fijado. El rechazo impide que el proceso se inicie. No es una decisión de fondo: el demandante puede presentar una nueva demanda si el derecho no ha prescrito. Causas típicas de rechazo: falta de jurisdicción, prescripción o caducidad del derecho, no corregir en el plazo de la inadmisión.</w:t>
            </w:r>
          </w:p>
        </w:tc>
      </w:tr>
    </w:tbl>
    <w:p w14:paraId="109CA909" w14:textId="77777777" w:rsidR="001C1C8A" w:rsidRPr="001C1C8A" w:rsidRDefault="001C1C8A" w:rsidP="001C1C8A">
      <w:pPr>
        <w:jc w:val="both"/>
        <w:rPr>
          <w:rFonts w:ascii="Arial" w:hAnsi="Arial" w:cs="Arial"/>
          <w:sz w:val="22"/>
          <w:szCs w:val="22"/>
        </w:rPr>
      </w:pPr>
    </w:p>
    <w:p w14:paraId="650D6801"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4.4.4 La Reforma de la Demanda (Art. 93 CGP)</w:t>
      </w:r>
    </w:p>
    <w:p w14:paraId="4E5BCEDF"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Antes de que el demandado sea notificado del auto admisorio, el demandante puede REFORMAR su demanda: modificar los hechos, adicionar o suprimir pretensiones, cambiar el demandado. Esta es la última gran oportunidad del demandante antes de que el proceso quede trabado.</w:t>
      </w:r>
    </w:p>
    <w:p w14:paraId="331C190E"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Despues de notificado el demandado y hasta antes de que venza el plazo para contestar, el demandante tambien puede reformar la demanda una sola vez, pero el demandado tendrá un nuevo plazo para contestar la demanda reformada.</w:t>
      </w:r>
    </w:p>
    <w:p w14:paraId="57F9F1F8" w14:textId="77777777" w:rsidR="001C1C8A" w:rsidRPr="001C1C8A" w:rsidRDefault="001C1C8A" w:rsidP="001C1C8A">
      <w:pPr>
        <w:jc w:val="both"/>
        <w:rPr>
          <w:rFonts w:ascii="Arial" w:hAnsi="Arial" w:cs="Arial"/>
          <w:sz w:val="22"/>
          <w:szCs w:val="22"/>
        </w:rPr>
      </w:pPr>
    </w:p>
    <w:p w14:paraId="2AC4A6AA"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CAPSULA 4.5</w:t>
      </w:r>
    </w:p>
    <w:p w14:paraId="553A8CFE"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ACTITUDES DEL DEMANDADO: LA CONTESTACIÓN Y LA DEFENSA</w:t>
      </w:r>
    </w:p>
    <w:p w14:paraId="423FBFD2" w14:textId="77777777" w:rsidR="001C1C8A" w:rsidRPr="001C1C8A" w:rsidRDefault="001C1C8A" w:rsidP="001C1C8A">
      <w:pPr>
        <w:jc w:val="both"/>
        <w:rPr>
          <w:rFonts w:ascii="Arial" w:hAnsi="Arial" w:cs="Arial"/>
          <w:sz w:val="22"/>
          <w:szCs w:val="22"/>
        </w:rPr>
      </w:pPr>
    </w:p>
    <w:p w14:paraId="22AEA313" w14:textId="77777777" w:rsidR="001C1C8A" w:rsidRPr="001C1C8A" w:rsidRDefault="001C1C8A" w:rsidP="001C1C8A">
      <w:pPr>
        <w:jc w:val="both"/>
        <w:rPr>
          <w:rFonts w:ascii="Arial" w:hAnsi="Arial" w:cs="Arial"/>
          <w:sz w:val="22"/>
          <w:szCs w:val="22"/>
        </w:rPr>
      </w:pPr>
    </w:p>
    <w:p w14:paraId="20B2C3D4"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4.5.1 El Demandado Frente a la Demanda: Cuatro Caminos</w:t>
      </w:r>
    </w:p>
    <w:p w14:paraId="050F7123"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Una vez notificado del auto admisorio de la demanda, el demandado enfrenta una decisión estratégica crucial. El CGP le da un plazo para contestar la demanda (que varía según el tipo de proceso) y en ese tiempo debe definir su postura. Hay cuatro actitudes posibles, no excluyentes entre sí:</w:t>
      </w:r>
    </w:p>
    <w:p w14:paraId="3C740C61"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1C1C8A" w:rsidRPr="001C1C8A" w14:paraId="7E3E9B4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4B0BB5B6"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lastRenderedPageBreak/>
              <w:t>LAS CUATRO ACTITUDES DEL DEMANDADO</w:t>
            </w:r>
          </w:p>
          <w:p w14:paraId="1B46E41B"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1. EL SILENCIO (No contestar): </w:t>
            </w:r>
            <w:r w:rsidRPr="001C1C8A">
              <w:rPr>
                <w:rFonts w:ascii="Arial" w:hAnsi="Arial" w:cs="Arial"/>
                <w:sz w:val="22"/>
                <w:szCs w:val="22"/>
              </w:rPr>
              <w:t>El demandado simplemente no presenta escrito de contestación dentro del término. CUIDADO: en el proceso civil colombiano el silencio NO equivale a admitir los hechos de la demanda (a diferencia del proceso laboral). Sin embargo, el demandado que no contesta pierde la oportunidad de proponer excepciones previas, de pedir pruebas en la contestación, y queda en una posición procesal debilitada.</w:t>
            </w:r>
          </w:p>
          <w:p w14:paraId="09A9A33F" w14:textId="77777777" w:rsidR="001C1C8A" w:rsidRPr="001C1C8A" w:rsidRDefault="001C1C8A" w:rsidP="00DD2DD5">
            <w:pPr>
              <w:jc w:val="both"/>
              <w:rPr>
                <w:rFonts w:ascii="Arial" w:hAnsi="Arial" w:cs="Arial"/>
                <w:sz w:val="22"/>
                <w:szCs w:val="22"/>
              </w:rPr>
            </w:pPr>
          </w:p>
          <w:p w14:paraId="4BE86DA5"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2. LA CONTESTACIÓN PURA (Negar los hechos): </w:t>
            </w:r>
            <w:r w:rsidRPr="001C1C8A">
              <w:rPr>
                <w:rFonts w:ascii="Arial" w:hAnsi="Arial" w:cs="Arial"/>
                <w:sz w:val="22"/>
                <w:szCs w:val="22"/>
              </w:rPr>
              <w:t>El demandado presenta escrito contestando la demanda, negando los hechos que no son ciertos. En materia civil, la simple negación no basta: si la ley o las circunstancias imponen al demandado la carga de probar algo, debe hacerlo.</w:t>
            </w:r>
          </w:p>
          <w:p w14:paraId="2EC330E7" w14:textId="77777777" w:rsidR="001C1C8A" w:rsidRPr="001C1C8A" w:rsidRDefault="001C1C8A" w:rsidP="00DD2DD5">
            <w:pPr>
              <w:jc w:val="both"/>
              <w:rPr>
                <w:rFonts w:ascii="Arial" w:hAnsi="Arial" w:cs="Arial"/>
                <w:sz w:val="22"/>
                <w:szCs w:val="22"/>
              </w:rPr>
            </w:pPr>
          </w:p>
          <w:p w14:paraId="1137DF38"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3. LAS EXCEPCIONES: </w:t>
            </w:r>
            <w:r w:rsidRPr="001C1C8A">
              <w:rPr>
                <w:rFonts w:ascii="Arial" w:hAnsi="Arial" w:cs="Arial"/>
                <w:sz w:val="22"/>
                <w:szCs w:val="22"/>
              </w:rPr>
              <w:t>El demandado puede proponer excepciones PREVIAS (atacan la forma del proceso, Art. 100 CGP) o excepciones de MERITO o PERENTORIAS (atacan el derecho sustancial del demandante, Art. 282 CGP). Esta es la forma más eficaz de defensa.</w:t>
            </w:r>
          </w:p>
          <w:p w14:paraId="277B1DE5" w14:textId="77777777" w:rsidR="001C1C8A" w:rsidRPr="001C1C8A" w:rsidRDefault="001C1C8A" w:rsidP="00DD2DD5">
            <w:pPr>
              <w:jc w:val="both"/>
              <w:rPr>
                <w:rFonts w:ascii="Arial" w:hAnsi="Arial" w:cs="Arial"/>
                <w:sz w:val="22"/>
                <w:szCs w:val="22"/>
              </w:rPr>
            </w:pPr>
          </w:p>
          <w:p w14:paraId="393696A9"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4. LA DEMANDA DE RECONVENCIÓN (Art. 371 CGP): </w:t>
            </w:r>
            <w:r w:rsidRPr="001C1C8A">
              <w:rPr>
                <w:rFonts w:ascii="Arial" w:hAnsi="Arial" w:cs="Arial"/>
                <w:sz w:val="22"/>
                <w:szCs w:val="22"/>
              </w:rPr>
              <w:t>El demandado no solo se defiende sino que ataca: presenta una nueva demanda contra el demandante, dentro del mismo proceso. La reconvención debe cumplir los mismos requisitos de la demanda principal y el juez la tramita conjuntamente.</w:t>
            </w:r>
          </w:p>
        </w:tc>
      </w:tr>
    </w:tbl>
    <w:p w14:paraId="42D7AA04" w14:textId="77777777" w:rsidR="001C1C8A" w:rsidRPr="001C1C8A" w:rsidRDefault="001C1C8A" w:rsidP="001C1C8A">
      <w:pPr>
        <w:jc w:val="both"/>
        <w:rPr>
          <w:rFonts w:ascii="Arial" w:hAnsi="Arial" w:cs="Arial"/>
          <w:sz w:val="22"/>
          <w:szCs w:val="22"/>
        </w:rPr>
      </w:pPr>
    </w:p>
    <w:p w14:paraId="66A23058"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4.5.2 La Contestación de la Demanda (Art. 96 CGP)</w:t>
      </w:r>
    </w:p>
    <w:p w14:paraId="77259873"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La contestación de la demanda es el acto procesal por el que el demandado da respuesta al libelo de mandatorio. El artículo 96 del CGP establece sus requisitos formales, que son análogos a los de la demanda:</w:t>
      </w:r>
    </w:p>
    <w:p w14:paraId="785676F9" w14:textId="77777777" w:rsidR="001C1C8A" w:rsidRPr="001C1C8A" w:rsidRDefault="001C1C8A" w:rsidP="001C1C8A">
      <w:pPr>
        <w:numPr>
          <w:ilvl w:val="0"/>
          <w:numId w:val="42"/>
        </w:numPr>
        <w:jc w:val="both"/>
        <w:rPr>
          <w:rFonts w:ascii="Arial" w:hAnsi="Arial" w:cs="Arial"/>
          <w:sz w:val="22"/>
          <w:szCs w:val="22"/>
        </w:rPr>
      </w:pPr>
      <w:r w:rsidRPr="001C1C8A">
        <w:rPr>
          <w:rFonts w:ascii="Arial" w:hAnsi="Arial" w:cs="Arial"/>
          <w:sz w:val="22"/>
          <w:szCs w:val="22"/>
        </w:rPr>
        <w:t>Indicación del proceso al que se refiere.</w:t>
      </w:r>
    </w:p>
    <w:p w14:paraId="281F30C2" w14:textId="77777777" w:rsidR="001C1C8A" w:rsidRPr="001C1C8A" w:rsidRDefault="001C1C8A" w:rsidP="001C1C8A">
      <w:pPr>
        <w:numPr>
          <w:ilvl w:val="0"/>
          <w:numId w:val="42"/>
        </w:numPr>
        <w:jc w:val="both"/>
        <w:rPr>
          <w:rFonts w:ascii="Arial" w:hAnsi="Arial" w:cs="Arial"/>
          <w:sz w:val="22"/>
          <w:szCs w:val="22"/>
        </w:rPr>
      </w:pPr>
      <w:r w:rsidRPr="001C1C8A">
        <w:rPr>
          <w:rFonts w:ascii="Arial" w:hAnsi="Arial" w:cs="Arial"/>
          <w:sz w:val="22"/>
          <w:szCs w:val="22"/>
        </w:rPr>
        <w:t>Pronunciamiento expreso y preciso sobre cada uno de los hechos de la demanda: admite, niega o dice que no le consta. (Si no se pronuncia sobre un hecho, se presume que es CIERTO, Art. 96 núm. 2).</w:t>
      </w:r>
    </w:p>
    <w:p w14:paraId="4F9E5785" w14:textId="77777777" w:rsidR="001C1C8A" w:rsidRPr="001C1C8A" w:rsidRDefault="001C1C8A" w:rsidP="001C1C8A">
      <w:pPr>
        <w:numPr>
          <w:ilvl w:val="0"/>
          <w:numId w:val="42"/>
        </w:numPr>
        <w:jc w:val="both"/>
        <w:rPr>
          <w:rFonts w:ascii="Arial" w:hAnsi="Arial" w:cs="Arial"/>
          <w:sz w:val="22"/>
          <w:szCs w:val="22"/>
        </w:rPr>
      </w:pPr>
      <w:r w:rsidRPr="001C1C8A">
        <w:rPr>
          <w:rFonts w:ascii="Arial" w:hAnsi="Arial" w:cs="Arial"/>
          <w:sz w:val="22"/>
          <w:szCs w:val="22"/>
        </w:rPr>
        <w:t>Las excepciones previas que se pretendan proponer (Art. 100 CGP).</w:t>
      </w:r>
    </w:p>
    <w:p w14:paraId="08906961" w14:textId="77777777" w:rsidR="001C1C8A" w:rsidRPr="001C1C8A" w:rsidRDefault="001C1C8A" w:rsidP="001C1C8A">
      <w:pPr>
        <w:numPr>
          <w:ilvl w:val="0"/>
          <w:numId w:val="42"/>
        </w:numPr>
        <w:jc w:val="both"/>
        <w:rPr>
          <w:rFonts w:ascii="Arial" w:hAnsi="Arial" w:cs="Arial"/>
          <w:sz w:val="22"/>
          <w:szCs w:val="22"/>
        </w:rPr>
      </w:pPr>
      <w:r w:rsidRPr="001C1C8A">
        <w:rPr>
          <w:rFonts w:ascii="Arial" w:hAnsi="Arial" w:cs="Arial"/>
          <w:sz w:val="22"/>
          <w:szCs w:val="22"/>
        </w:rPr>
        <w:t>Las excepciones de mérito que se pretendan hacer valer.</w:t>
      </w:r>
    </w:p>
    <w:p w14:paraId="27275C79" w14:textId="77777777" w:rsidR="001C1C8A" w:rsidRPr="001C1C8A" w:rsidRDefault="001C1C8A" w:rsidP="001C1C8A">
      <w:pPr>
        <w:numPr>
          <w:ilvl w:val="0"/>
          <w:numId w:val="42"/>
        </w:numPr>
        <w:jc w:val="both"/>
        <w:rPr>
          <w:rFonts w:ascii="Arial" w:hAnsi="Arial" w:cs="Arial"/>
          <w:sz w:val="22"/>
          <w:szCs w:val="22"/>
        </w:rPr>
      </w:pPr>
      <w:r w:rsidRPr="001C1C8A">
        <w:rPr>
          <w:rFonts w:ascii="Arial" w:hAnsi="Arial" w:cs="Arial"/>
          <w:sz w:val="22"/>
          <w:szCs w:val="22"/>
        </w:rPr>
        <w:t>La peticion de pruebas que el demandado pretende hacer valer.</w:t>
      </w:r>
    </w:p>
    <w:p w14:paraId="2C134435" w14:textId="77777777" w:rsidR="001C1C8A" w:rsidRPr="001C1C8A" w:rsidRDefault="001C1C8A" w:rsidP="001C1C8A">
      <w:pPr>
        <w:numPr>
          <w:ilvl w:val="0"/>
          <w:numId w:val="42"/>
        </w:numPr>
        <w:jc w:val="both"/>
        <w:rPr>
          <w:rFonts w:ascii="Arial" w:hAnsi="Arial" w:cs="Arial"/>
          <w:sz w:val="22"/>
          <w:szCs w:val="22"/>
        </w:rPr>
      </w:pPr>
      <w:r w:rsidRPr="001C1C8A">
        <w:rPr>
          <w:rFonts w:ascii="Arial" w:hAnsi="Arial" w:cs="Arial"/>
          <w:sz w:val="22"/>
          <w:szCs w:val="22"/>
        </w:rPr>
        <w:t>La indicación del lugar y datos electrónicos para recibir notificaciones.</w:t>
      </w:r>
    </w:p>
    <w:p w14:paraId="7A2C6C35"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1C1C8A" w:rsidRPr="001C1C8A" w14:paraId="4B038C1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DEDEC"/>
            <w:tcMar>
              <w:top w:w="140" w:type="dxa"/>
              <w:left w:w="200" w:type="dxa"/>
              <w:bottom w:w="140" w:type="dxa"/>
              <w:right w:w="200" w:type="dxa"/>
            </w:tcMar>
            <w:hideMark/>
          </w:tcPr>
          <w:p w14:paraId="15402DFC"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ADVERTENCIA CRITICA: EL PRONUNCIAMIENTO SOBRE LOS HECHOS</w:t>
            </w:r>
          </w:p>
          <w:p w14:paraId="5A30D26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Art. 96 núm. 2 CGP establece que si el demandado no se pronuncia expresamente sobre un hecho de la demanda, se presume que ese hecho es CIERTO. Esta es una de las trampas procesales más peligrosas para quien contesta una demanda sin cuidado.</w:t>
            </w:r>
          </w:p>
          <w:p w14:paraId="1E0543B7"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Ejemplo: La demanda tiene 20 hechos. El abogado del demandado, por descuido, no se pronuncia sobre el hecho 15 (que afirma que el demandado incumplió el contrato). El silencio sobre ese hecho hace presumir que el demandado acepta que incumplió. El juez puede tener ese hecho por probado sin necesidad de prueba adicional.</w:t>
            </w:r>
          </w:p>
        </w:tc>
      </w:tr>
    </w:tbl>
    <w:p w14:paraId="62220234" w14:textId="77777777" w:rsidR="001C1C8A" w:rsidRPr="001C1C8A" w:rsidRDefault="001C1C8A" w:rsidP="001C1C8A">
      <w:pPr>
        <w:jc w:val="both"/>
        <w:rPr>
          <w:rFonts w:ascii="Arial" w:hAnsi="Arial" w:cs="Arial"/>
          <w:sz w:val="22"/>
          <w:szCs w:val="22"/>
        </w:rPr>
      </w:pPr>
    </w:p>
    <w:p w14:paraId="4DBB7967"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4.5.3 Las Excepciones Previas (Art. 100 CGP)</w:t>
      </w:r>
    </w:p>
    <w:p w14:paraId="2C2D4F91"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lastRenderedPageBreak/>
        <w:t>Las EXCEPCIONES PREVIAS atacan la FORMA del proceso, no su fondo. Son defectos procesales que, si prosperan, terminan o suspenden el proceso SIN que el juez se pronuncie sobre si el demandante tiene o no la razon en el fondo.</w:t>
      </w:r>
    </w:p>
    <w:p w14:paraId="61523DC6"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468"/>
        <w:gridCol w:w="3450"/>
        <w:gridCol w:w="2910"/>
      </w:tblGrid>
      <w:tr w:rsidR="001C1C8A" w:rsidRPr="001C1C8A" w14:paraId="64196FA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B18B570"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EXCEPCIÓN PREVIA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DF561BA"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9B306D1"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EFECTO SI PROSPERA</w:t>
            </w:r>
          </w:p>
        </w:tc>
      </w:tr>
      <w:tr w:rsidR="001C1C8A" w:rsidRPr="001C1C8A" w14:paraId="19666BA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EDCE03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Falta de jurisdicción o competencia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A9163B6"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juez no tiene jurisdicción o no es competente por factor objetivo, subjetivo o territorial.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6AB0186"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proceso se remite al juez competente o se rechaza.</w:t>
            </w:r>
          </w:p>
        </w:tc>
      </w:tr>
      <w:tr w:rsidR="001C1C8A" w:rsidRPr="001C1C8A" w14:paraId="4BE3629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93D278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Compromiso o clausula compromisoria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A217C66"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Las partes acordaron llevar su disputa al arbitraje.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1AE042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proceso se suspende o termina. Las partes van al arbitraje.</w:t>
            </w:r>
          </w:p>
        </w:tc>
      </w:tr>
      <w:tr w:rsidR="001C1C8A" w:rsidRPr="001C1C8A" w14:paraId="6708521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D49A9F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Inexistencia del demandante o del demandado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E0B7A7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Alguna de las partes no existe jurídicamente.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967327A"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proceso termina.</w:t>
            </w:r>
          </w:p>
        </w:tc>
      </w:tr>
      <w:tr w:rsidR="001C1C8A" w:rsidRPr="001C1C8A" w14:paraId="1201715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541A85A"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Incapacidad o indebida representación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2E44B6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demandante o demandado es incapaz y actúa sin representante legal.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B2E806C"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Se suspende el proceso para que se subsane la representación.</w:t>
            </w:r>
          </w:p>
        </w:tc>
      </w:tr>
      <w:tr w:rsidR="001C1C8A" w:rsidRPr="001C1C8A" w14:paraId="62532DC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C654F9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No agotamiento de requisito de procedibilidad</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5AA30C6"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No se agotó la conciliación prejudicial donde era obligatoria.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D1DFBD6"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juez rechaza la demanda.</w:t>
            </w:r>
          </w:p>
        </w:tc>
      </w:tr>
      <w:tr w:rsidR="001C1C8A" w:rsidRPr="001C1C8A" w14:paraId="0BD653C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C0F76B2"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Ineptitud de la demanda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84950D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 demanda tiene defectos que impiden determinar su objeto.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FB05C6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Inadmisión con oportunidad de corrección.</w:t>
            </w:r>
          </w:p>
        </w:tc>
      </w:tr>
      <w:tr w:rsidR="001C1C8A" w:rsidRPr="001C1C8A" w14:paraId="086F006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859E4F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Prescripción o caducidad del derecho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BB2D856"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derecho del demandante ha prescrito o la acción ha caducado.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72242F1"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Terminación del proceso. La pretensión es improcedente.</w:t>
            </w:r>
          </w:p>
        </w:tc>
      </w:tr>
    </w:tbl>
    <w:p w14:paraId="256E4123" w14:textId="77777777" w:rsidR="001C1C8A" w:rsidRPr="001C1C8A" w:rsidRDefault="001C1C8A" w:rsidP="001C1C8A">
      <w:pPr>
        <w:jc w:val="both"/>
        <w:rPr>
          <w:rFonts w:ascii="Arial" w:hAnsi="Arial" w:cs="Arial"/>
          <w:sz w:val="22"/>
          <w:szCs w:val="22"/>
        </w:rPr>
      </w:pPr>
    </w:p>
    <w:p w14:paraId="11C5A286" w14:textId="77777777" w:rsidR="001C1C8A" w:rsidRPr="001C1C8A" w:rsidRDefault="001C1C8A" w:rsidP="001C1C8A">
      <w:pPr>
        <w:jc w:val="both"/>
        <w:rPr>
          <w:rFonts w:ascii="Arial" w:hAnsi="Arial" w:cs="Arial"/>
          <w:b/>
          <w:bCs/>
          <w:sz w:val="22"/>
          <w:szCs w:val="22"/>
          <w:u w:val="single"/>
        </w:rPr>
      </w:pPr>
      <w:r w:rsidRPr="001C1C8A">
        <w:rPr>
          <w:rFonts w:ascii="Arial" w:hAnsi="Arial" w:cs="Arial"/>
          <w:b/>
          <w:bCs/>
          <w:sz w:val="22"/>
          <w:szCs w:val="22"/>
          <w:u w:val="single"/>
        </w:rPr>
        <w:t>4.5.4 Las Excepciones de Merito o Perentorias (Art. 282 CGP)</w:t>
      </w:r>
    </w:p>
    <w:p w14:paraId="65F8BB1B" w14:textId="77777777" w:rsidR="001C1C8A" w:rsidRPr="001C1C8A" w:rsidRDefault="001C1C8A" w:rsidP="001C1C8A">
      <w:pPr>
        <w:jc w:val="both"/>
        <w:rPr>
          <w:rFonts w:ascii="Arial" w:hAnsi="Arial" w:cs="Arial"/>
          <w:sz w:val="22"/>
          <w:szCs w:val="22"/>
        </w:rPr>
      </w:pPr>
    </w:p>
    <w:p w14:paraId="122EDF24"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Las excepciones de MERITO atacan el derecho sustancial del demandante: argumentan que, aunque el proceso es formalmente valido, el demandante no tiene la razon de fondo. Son las excepciones 'de verdad', las que el juez analiza al momento de dictar sentencia.</w:t>
      </w:r>
    </w:p>
    <w:p w14:paraId="2B3323DF" w14:textId="77777777" w:rsidR="001C1C8A" w:rsidRPr="001C1C8A" w:rsidRDefault="001C1C8A" w:rsidP="001C1C8A">
      <w:pPr>
        <w:numPr>
          <w:ilvl w:val="0"/>
          <w:numId w:val="43"/>
        </w:numPr>
        <w:jc w:val="both"/>
        <w:rPr>
          <w:rFonts w:ascii="Arial" w:hAnsi="Arial" w:cs="Arial"/>
          <w:sz w:val="22"/>
          <w:szCs w:val="22"/>
        </w:rPr>
      </w:pPr>
      <w:r w:rsidRPr="001C1C8A">
        <w:rPr>
          <w:rFonts w:ascii="Arial" w:hAnsi="Arial" w:cs="Arial"/>
          <w:sz w:val="22"/>
          <w:szCs w:val="22"/>
        </w:rPr>
        <w:t>Pago: el demandado pago la obligación que se le reclama.</w:t>
      </w:r>
    </w:p>
    <w:p w14:paraId="63F3F9E7" w14:textId="77777777" w:rsidR="001C1C8A" w:rsidRPr="001C1C8A" w:rsidRDefault="001C1C8A" w:rsidP="001C1C8A">
      <w:pPr>
        <w:numPr>
          <w:ilvl w:val="0"/>
          <w:numId w:val="43"/>
        </w:numPr>
        <w:jc w:val="both"/>
        <w:rPr>
          <w:rFonts w:ascii="Arial" w:hAnsi="Arial" w:cs="Arial"/>
          <w:sz w:val="22"/>
          <w:szCs w:val="22"/>
        </w:rPr>
      </w:pPr>
      <w:r w:rsidRPr="001C1C8A">
        <w:rPr>
          <w:rFonts w:ascii="Arial" w:hAnsi="Arial" w:cs="Arial"/>
          <w:sz w:val="22"/>
          <w:szCs w:val="22"/>
        </w:rPr>
        <w:t>Prescripción extintiva: el derecho a cobrar la obligación ya prescribió (arts. 1625 y ss. Cod. Civil).</w:t>
      </w:r>
    </w:p>
    <w:p w14:paraId="21C6EF3B" w14:textId="77777777" w:rsidR="001C1C8A" w:rsidRPr="001C1C8A" w:rsidRDefault="001C1C8A" w:rsidP="001C1C8A">
      <w:pPr>
        <w:numPr>
          <w:ilvl w:val="0"/>
          <w:numId w:val="43"/>
        </w:numPr>
        <w:jc w:val="both"/>
        <w:rPr>
          <w:rFonts w:ascii="Arial" w:hAnsi="Arial" w:cs="Arial"/>
          <w:sz w:val="22"/>
          <w:szCs w:val="22"/>
        </w:rPr>
      </w:pPr>
      <w:r w:rsidRPr="001C1C8A">
        <w:rPr>
          <w:rFonts w:ascii="Arial" w:hAnsi="Arial" w:cs="Arial"/>
          <w:sz w:val="22"/>
          <w:szCs w:val="22"/>
        </w:rPr>
        <w:t>Compensación: el demandado tiene a su vez un crédito contra el demandante que puede oponer.</w:t>
      </w:r>
    </w:p>
    <w:p w14:paraId="67D47BE1" w14:textId="77777777" w:rsidR="001C1C8A" w:rsidRPr="001C1C8A" w:rsidRDefault="001C1C8A" w:rsidP="001C1C8A">
      <w:pPr>
        <w:numPr>
          <w:ilvl w:val="0"/>
          <w:numId w:val="43"/>
        </w:numPr>
        <w:jc w:val="both"/>
        <w:rPr>
          <w:rFonts w:ascii="Arial" w:hAnsi="Arial" w:cs="Arial"/>
          <w:sz w:val="22"/>
          <w:szCs w:val="22"/>
        </w:rPr>
      </w:pPr>
      <w:r w:rsidRPr="001C1C8A">
        <w:rPr>
          <w:rFonts w:ascii="Arial" w:hAnsi="Arial" w:cs="Arial"/>
          <w:sz w:val="22"/>
          <w:szCs w:val="22"/>
        </w:rPr>
        <w:t>Nulidad del contrato: el contrato base de la demanda es nulo.</w:t>
      </w:r>
    </w:p>
    <w:p w14:paraId="5DA15196" w14:textId="77777777" w:rsidR="001C1C8A" w:rsidRPr="001C1C8A" w:rsidRDefault="001C1C8A" w:rsidP="001C1C8A">
      <w:pPr>
        <w:numPr>
          <w:ilvl w:val="0"/>
          <w:numId w:val="43"/>
        </w:numPr>
        <w:jc w:val="both"/>
        <w:rPr>
          <w:rFonts w:ascii="Arial" w:hAnsi="Arial" w:cs="Arial"/>
          <w:sz w:val="22"/>
          <w:szCs w:val="22"/>
        </w:rPr>
      </w:pPr>
      <w:r w:rsidRPr="001C1C8A">
        <w:rPr>
          <w:rFonts w:ascii="Arial" w:hAnsi="Arial" w:cs="Arial"/>
          <w:sz w:val="22"/>
          <w:szCs w:val="22"/>
        </w:rPr>
        <w:t>Condición pendiente: la obligación está sujeta a condición suspensiva que aún no se ha cumplido.</w:t>
      </w:r>
    </w:p>
    <w:p w14:paraId="10C3C215" w14:textId="77777777" w:rsidR="001C1C8A" w:rsidRPr="001C1C8A" w:rsidRDefault="001C1C8A" w:rsidP="001C1C8A">
      <w:pPr>
        <w:numPr>
          <w:ilvl w:val="0"/>
          <w:numId w:val="43"/>
        </w:numPr>
        <w:jc w:val="both"/>
        <w:rPr>
          <w:rFonts w:ascii="Arial" w:hAnsi="Arial" w:cs="Arial"/>
          <w:sz w:val="22"/>
          <w:szCs w:val="22"/>
        </w:rPr>
      </w:pPr>
      <w:r w:rsidRPr="001C1C8A">
        <w:rPr>
          <w:rFonts w:ascii="Arial" w:hAnsi="Arial" w:cs="Arial"/>
          <w:sz w:val="22"/>
          <w:szCs w:val="22"/>
        </w:rPr>
        <w:t>Confusión: el demandante adquirido la calidad de deudor y acreedor simultáneamente.</w:t>
      </w:r>
    </w:p>
    <w:p w14:paraId="40F96A42" w14:textId="77777777" w:rsidR="001C1C8A" w:rsidRPr="001C1C8A" w:rsidRDefault="001C1C8A" w:rsidP="001C1C8A">
      <w:pPr>
        <w:jc w:val="both"/>
        <w:rPr>
          <w:rFonts w:ascii="Arial" w:hAnsi="Arial" w:cs="Arial"/>
          <w:sz w:val="22"/>
          <w:szCs w:val="22"/>
        </w:rPr>
      </w:pPr>
    </w:p>
    <w:p w14:paraId="3B6E3C85"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CAPSULA 4.6</w:t>
      </w:r>
    </w:p>
    <w:p w14:paraId="0F148C4B"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TÉRMINOS PROCESALES Y PRECLUSIÓN</w:t>
      </w:r>
    </w:p>
    <w:p w14:paraId="2256C1C9" w14:textId="77777777" w:rsidR="001C1C8A" w:rsidRPr="001C1C8A" w:rsidRDefault="001C1C8A" w:rsidP="001C1C8A">
      <w:pPr>
        <w:jc w:val="both"/>
        <w:rPr>
          <w:rFonts w:ascii="Arial" w:hAnsi="Arial" w:cs="Arial"/>
          <w:sz w:val="22"/>
          <w:szCs w:val="22"/>
        </w:rPr>
      </w:pPr>
    </w:p>
    <w:p w14:paraId="7554F9C2"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4.6.1 Los Términos Procesales: El Tiempo en el Proceso</w:t>
      </w:r>
    </w:p>
    <w:p w14:paraId="57FE7B17"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En el proceso civil, el tiempo es un recurso jurídico con consecuencias definitivas. Cada actuación tiene un plazo preciso, y el incumplimiento de ese plazo genera la figura de la PRECLUSIÓN: el derecho a realizar ese acto procesal se extingue automáticamente, sin necesidad de declaración judicial.</w:t>
      </w:r>
    </w:p>
    <w:p w14:paraId="58C505AF"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El CGP regula los términos procesales en los artículos 117 a 124. El dominio de estas reglas es una habilidad técnica fundamental del abogado litigante: un término mal contado puede costar el proceso.</w:t>
      </w:r>
    </w:p>
    <w:p w14:paraId="1977ECBC" w14:textId="77777777" w:rsidR="001C1C8A" w:rsidRPr="001C1C8A" w:rsidRDefault="001C1C8A" w:rsidP="001C1C8A">
      <w:pPr>
        <w:jc w:val="both"/>
        <w:rPr>
          <w:rFonts w:ascii="Arial" w:hAnsi="Arial" w:cs="Arial"/>
          <w:sz w:val="22"/>
          <w:szCs w:val="22"/>
        </w:rPr>
      </w:pPr>
    </w:p>
    <w:p w14:paraId="28C199D4" w14:textId="77777777" w:rsidR="001C1C8A" w:rsidRPr="001C1C8A" w:rsidRDefault="001C1C8A" w:rsidP="001C1C8A">
      <w:pPr>
        <w:jc w:val="both"/>
        <w:rPr>
          <w:rFonts w:ascii="Arial" w:hAnsi="Arial" w:cs="Arial"/>
          <w:b/>
          <w:bCs/>
          <w:sz w:val="22"/>
          <w:szCs w:val="22"/>
          <w:u w:val="single"/>
        </w:rPr>
      </w:pPr>
      <w:r w:rsidRPr="001C1C8A">
        <w:rPr>
          <w:rFonts w:ascii="Arial" w:hAnsi="Arial" w:cs="Arial"/>
          <w:b/>
          <w:bCs/>
          <w:sz w:val="22"/>
          <w:szCs w:val="22"/>
          <w:u w:val="single"/>
        </w:rPr>
        <w:t>4.6.2 Clases de Términos Procesales</w:t>
      </w:r>
    </w:p>
    <w:p w14:paraId="26370FF7"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445"/>
        <w:gridCol w:w="3369"/>
        <w:gridCol w:w="3014"/>
      </w:tblGrid>
      <w:tr w:rsidR="001C1C8A" w:rsidRPr="001C1C8A" w14:paraId="132FC7B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96C482E"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TIPO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A19D132"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B7B45C2"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EJEMPLO</w:t>
            </w:r>
          </w:p>
        </w:tc>
      </w:tr>
      <w:tr w:rsidR="001C1C8A" w:rsidRPr="001C1C8A" w14:paraId="00D4300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B0E9A91"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LEGALES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A4C7EA5"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Fijados directamente por la ley en el CGP. No pueden ser modificados por el juez ni por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3A37535"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5 dias para corregir la demanda inadmitida. 20 dias para contestar en proceso verbal. 3 dias para interponer la apelación.</w:t>
            </w:r>
          </w:p>
        </w:tc>
      </w:tr>
      <w:tr w:rsidR="001C1C8A" w:rsidRPr="001C1C8A" w14:paraId="5360674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74216E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JUDICIALES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D74E6B8"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Fijados por el juez cuando la ley no los determina o cuando la ley le da un rango.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8C4077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El juez fija la fecha de una audiencia. El juez otorga un plazo para cumplir una medida de saneamiento.</w:t>
            </w:r>
          </w:p>
        </w:tc>
      </w:tr>
      <w:tr w:rsidR="001C1C8A" w:rsidRPr="001C1C8A" w14:paraId="1265ECC2"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4670E52"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CONVENCIONALES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09D3F78"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Acordados por las partes con autorización del juez, dentro de los límites legales.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B98DD12"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Las partes acuerdan un plazo especial para presentar un dictamen pericial de parte.</w:t>
            </w:r>
          </w:p>
        </w:tc>
      </w:tr>
      <w:tr w:rsidR="001C1C8A" w:rsidRPr="001C1C8A" w14:paraId="26FAE4F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B38938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PERENTORIOS (FATALES)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481C0E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Su vencimiento produce automáticamente la prescripción del derecho, sin necesidad de actuación del juez.</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0D2EDD5"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 mayoría de términos del CGP son perentorios: el termino para contestar, para interponer recursos, para corregir la demanda.</w:t>
            </w:r>
          </w:p>
        </w:tc>
      </w:tr>
      <w:tr w:rsidR="001C1C8A" w:rsidRPr="001C1C8A" w14:paraId="5A1810A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22E9061"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ORDENA TORIOS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F65990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Su vencimiento no extingue el derecho de la parte, sino que genera un retardo del funcionario. Se cumplen aunque hayan vencido.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7AB84F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Los términos para que el juez dicte sentencia o profiera un auto.</w:t>
            </w:r>
          </w:p>
        </w:tc>
      </w:tr>
    </w:tbl>
    <w:p w14:paraId="6842CCB9" w14:textId="77777777" w:rsidR="001C1C8A" w:rsidRPr="001C1C8A" w:rsidRDefault="001C1C8A" w:rsidP="001C1C8A">
      <w:pPr>
        <w:jc w:val="both"/>
        <w:rPr>
          <w:rFonts w:ascii="Arial" w:hAnsi="Arial" w:cs="Arial"/>
          <w:sz w:val="22"/>
          <w:szCs w:val="22"/>
        </w:rPr>
      </w:pPr>
    </w:p>
    <w:p w14:paraId="65B4C60C"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4.6.3 Como Contar los Términos Procesales: Las Reglas de Oro</w:t>
      </w:r>
    </w:p>
    <w:p w14:paraId="631EA954" w14:textId="77777777" w:rsidR="001C1C8A" w:rsidRPr="001C1C8A" w:rsidRDefault="001C1C8A" w:rsidP="001C1C8A">
      <w:pPr>
        <w:jc w:val="both"/>
        <w:rPr>
          <w:rFonts w:ascii="Arial" w:hAnsi="Arial" w:cs="Arial"/>
          <w:sz w:val="22"/>
          <w:szCs w:val="22"/>
        </w:rPr>
      </w:pPr>
    </w:p>
    <w:p w14:paraId="2A52D5BB"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Contar correctamente un término procesal es una de las habilidades más prácticas y críticas del abogado litigante. Las reglas son precisas:</w:t>
      </w:r>
    </w:p>
    <w:p w14:paraId="46DE3515"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1C1C8A" w:rsidRPr="001C1C8A" w14:paraId="2F03F47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55A751C6"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LAS 5 REGLAS PARA CONTAR TÉRMINOS PROCESALES (Art. 118 CGP)</w:t>
            </w:r>
          </w:p>
          <w:p w14:paraId="0EF90F65"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REGLA 1 - Dias hábiles únicamente: </w:t>
            </w:r>
            <w:r w:rsidRPr="001C1C8A">
              <w:rPr>
                <w:rFonts w:ascii="Arial" w:hAnsi="Arial" w:cs="Arial"/>
                <w:sz w:val="22"/>
                <w:szCs w:val="22"/>
              </w:rPr>
              <w:t xml:space="preserve">Los términos procesales se cuentan en dias HÁBILES, salvo que la ley expresamente diga dias corridos o calendarios. Dias hábiles </w:t>
            </w:r>
            <w:r w:rsidRPr="001C1C8A">
              <w:rPr>
                <w:rFonts w:ascii="Arial" w:hAnsi="Arial" w:cs="Arial"/>
                <w:sz w:val="22"/>
                <w:szCs w:val="22"/>
              </w:rPr>
              <w:lastRenderedPageBreak/>
              <w:t>son los dias de lunes a viernes, excluyendo festivos, dias en que no haya despacho judicial (por fuerza mayor, cese de actividades, etc.).</w:t>
            </w:r>
          </w:p>
          <w:p w14:paraId="03D04FD7" w14:textId="77777777" w:rsidR="001C1C8A" w:rsidRPr="001C1C8A" w:rsidRDefault="001C1C8A" w:rsidP="00DD2DD5">
            <w:pPr>
              <w:jc w:val="both"/>
              <w:rPr>
                <w:rFonts w:ascii="Arial" w:hAnsi="Arial" w:cs="Arial"/>
                <w:sz w:val="22"/>
                <w:szCs w:val="22"/>
              </w:rPr>
            </w:pPr>
          </w:p>
          <w:p w14:paraId="69939CC8"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REGLA 2 - El día de la notificación no cuenta: </w:t>
            </w:r>
            <w:r w:rsidRPr="001C1C8A">
              <w:rPr>
                <w:rFonts w:ascii="Arial" w:hAnsi="Arial" w:cs="Arial"/>
                <w:sz w:val="22"/>
                <w:szCs w:val="22"/>
              </w:rPr>
              <w:t>El termino comienza a correr el día SIGUIENTE a la notificación del auto o decisión que lo origina. El día de la notificación no se cuenta.</w:t>
            </w:r>
          </w:p>
          <w:p w14:paraId="5EF28EE7" w14:textId="77777777" w:rsidR="001C1C8A" w:rsidRPr="001C1C8A" w:rsidRDefault="001C1C8A" w:rsidP="00DD2DD5">
            <w:pPr>
              <w:jc w:val="both"/>
              <w:rPr>
                <w:rFonts w:ascii="Arial" w:hAnsi="Arial" w:cs="Arial"/>
                <w:sz w:val="22"/>
                <w:szCs w:val="22"/>
              </w:rPr>
            </w:pPr>
          </w:p>
          <w:p w14:paraId="1A61237D"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REGLA 3 - Se cuenta desde la notificación, no desde la expedición: </w:t>
            </w:r>
            <w:r w:rsidRPr="001C1C8A">
              <w:rPr>
                <w:rFonts w:ascii="Arial" w:hAnsi="Arial" w:cs="Arial"/>
                <w:sz w:val="22"/>
                <w:szCs w:val="22"/>
              </w:rPr>
              <w:t>Si un auto fue expedido el lunes pero notificado el miercoles, el termino comienza a correr el jueves.</w:t>
            </w:r>
          </w:p>
          <w:p w14:paraId="1B9B37A5" w14:textId="77777777" w:rsidR="001C1C8A" w:rsidRPr="001C1C8A" w:rsidRDefault="001C1C8A" w:rsidP="00DD2DD5">
            <w:pPr>
              <w:jc w:val="both"/>
              <w:rPr>
                <w:rFonts w:ascii="Arial" w:hAnsi="Arial" w:cs="Arial"/>
                <w:sz w:val="22"/>
                <w:szCs w:val="22"/>
              </w:rPr>
            </w:pPr>
          </w:p>
          <w:p w14:paraId="2CB2887D"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REGLA 4 - Dias de vacancia judicial no cuentan: </w:t>
            </w:r>
            <w:r w:rsidRPr="001C1C8A">
              <w:rPr>
                <w:rFonts w:ascii="Arial" w:hAnsi="Arial" w:cs="Arial"/>
                <w:sz w:val="22"/>
                <w:szCs w:val="22"/>
              </w:rPr>
              <w:t>Las vacaciones judiciales (generalmente dos periodos al año diciembre-enero) suspenden los términos procesales. Art. 121 CGP.</w:t>
            </w:r>
          </w:p>
          <w:p w14:paraId="582AEB31" w14:textId="77777777" w:rsidR="001C1C8A" w:rsidRPr="001C1C8A" w:rsidRDefault="001C1C8A" w:rsidP="00DD2DD5">
            <w:pPr>
              <w:jc w:val="both"/>
              <w:rPr>
                <w:rFonts w:ascii="Arial" w:hAnsi="Arial" w:cs="Arial"/>
                <w:sz w:val="22"/>
                <w:szCs w:val="22"/>
              </w:rPr>
            </w:pPr>
          </w:p>
          <w:p w14:paraId="018D9118"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REGLA 5 - El último día del término vence al cierre del despacho: </w:t>
            </w:r>
            <w:r w:rsidRPr="001C1C8A">
              <w:rPr>
                <w:rFonts w:ascii="Arial" w:hAnsi="Arial" w:cs="Arial"/>
                <w:sz w:val="22"/>
                <w:szCs w:val="22"/>
              </w:rPr>
              <w:t>Si el termino vence un día en que el despacho no abrió, se prorroga al día hábil siguiente (Art. 118 par. CGP). Si el expediente está en secretaria y la parte llega antes del cierre, el escrito se admite ese día.</w:t>
            </w:r>
          </w:p>
        </w:tc>
      </w:tr>
    </w:tbl>
    <w:p w14:paraId="45C6ACFC" w14:textId="77777777" w:rsidR="001C1C8A" w:rsidRPr="001C1C8A" w:rsidRDefault="001C1C8A" w:rsidP="001C1C8A">
      <w:pPr>
        <w:jc w:val="both"/>
        <w:rPr>
          <w:rFonts w:ascii="Arial" w:hAnsi="Arial" w:cs="Arial"/>
          <w:sz w:val="22"/>
          <w:szCs w:val="22"/>
        </w:rPr>
      </w:pPr>
    </w:p>
    <w:p w14:paraId="71E71B85"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4.6.4 La Preclusión: La Sanción al Descuido</w:t>
      </w:r>
    </w:p>
    <w:p w14:paraId="4A17A8EA"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La prescripción es el efecto automático del vencimiento de un término perentorio: el derecho a realizar el acto procesal se extingue. El proceso solo puede avanzar hacia adelante; una vez vencido el termino para una etapa, no puede retrocederse.</w:t>
      </w:r>
    </w:p>
    <w:p w14:paraId="08B7EC8E" w14:textId="77777777" w:rsidR="001C1C8A" w:rsidRPr="001C1C8A" w:rsidRDefault="001C1C8A" w:rsidP="001C1C8A">
      <w:pPr>
        <w:jc w:val="both"/>
        <w:rPr>
          <w:rFonts w:ascii="Arial" w:hAnsi="Arial" w:cs="Arial"/>
          <w:sz w:val="22"/>
          <w:szCs w:val="22"/>
        </w:rPr>
      </w:pPr>
    </w:p>
    <w:p w14:paraId="12FACB5F"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La prescripción no requiere declaración judicial: ocurre de pleno derecho. El juez no necesita dictar un auto que diga 'declaro precluida la oportunidad para contestar'; simplemente, si el demandado no contesto en termino, el proceso avanza sin contestación.</w:t>
      </w:r>
    </w:p>
    <w:p w14:paraId="3A58AF70" w14:textId="77777777" w:rsidR="001C1C8A" w:rsidRPr="001C1C8A" w:rsidRDefault="001C1C8A" w:rsidP="001C1C8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1C1C8A" w:rsidRPr="001C1C8A" w14:paraId="3038FD1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774F30CE"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TÉRMINOS PROCESALES CRÍTICOS EN EL PROCESO VERBAL (Art. 369 y ss. CGP)</w:t>
            </w:r>
          </w:p>
          <w:tbl>
            <w:tblPr>
              <w:tblW w:w="0" w:type="auto"/>
              <w:tblCellMar>
                <w:top w:w="15" w:type="dxa"/>
                <w:left w:w="15" w:type="dxa"/>
                <w:bottom w:w="15" w:type="dxa"/>
                <w:right w:w="15" w:type="dxa"/>
              </w:tblCellMar>
              <w:tblLook w:val="04A0" w:firstRow="1" w:lastRow="0" w:firstColumn="1" w:lastColumn="0" w:noHBand="0" w:noVBand="1"/>
            </w:tblPr>
            <w:tblGrid>
              <w:gridCol w:w="3783"/>
              <w:gridCol w:w="3244"/>
              <w:gridCol w:w="1391"/>
            </w:tblGrid>
            <w:tr w:rsidR="001C1C8A" w:rsidRPr="001C1C8A" w14:paraId="4F99BCB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41035DD"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ACTO PROCESAL</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CEF2FD5"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TERMINO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F0AE256"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NORMA</w:t>
                  </w:r>
                </w:p>
              </w:tc>
            </w:tr>
            <w:tr w:rsidR="001C1C8A" w:rsidRPr="001C1C8A" w14:paraId="4A6E37F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7E93FD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Contestar la demanda (proceso verbal)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A4253DA"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20 dias hábiles desde la notificación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D978FA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369 CGP</w:t>
                  </w:r>
                </w:p>
              </w:tc>
            </w:tr>
            <w:tr w:rsidR="001C1C8A" w:rsidRPr="001C1C8A" w14:paraId="1CD5D34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1658062"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Contestar la demanda (proceso verbal sumario)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DFAE2EE"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10 dias hábiles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CE0883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390 CGP</w:t>
                  </w:r>
                </w:p>
              </w:tc>
            </w:tr>
            <w:tr w:rsidR="001C1C8A" w:rsidRPr="001C1C8A" w14:paraId="6E8087F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217E6BC"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Corregir demanda inadmitida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9FB8D80"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5 dias hábiles desde la notificación del auto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2706FD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90 CGP</w:t>
                  </w:r>
                </w:p>
              </w:tc>
            </w:tr>
            <w:tr w:rsidR="001C1C8A" w:rsidRPr="001C1C8A" w14:paraId="4C03773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3ECF349"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Interponer recurso de reposición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43E085E"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3 dias hábiles desde la notificación del auto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AD3D79E"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318 CGP</w:t>
                  </w:r>
                </w:p>
              </w:tc>
            </w:tr>
            <w:tr w:rsidR="001C1C8A" w:rsidRPr="001C1C8A" w14:paraId="670F67B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C01DA11"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Interponer recurso de apelación (autos)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E178A87"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3 dias hábiles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82A3A67"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321 CGP</w:t>
                  </w:r>
                </w:p>
              </w:tc>
            </w:tr>
            <w:tr w:rsidR="001C1C8A" w:rsidRPr="001C1C8A" w14:paraId="772104F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509EF2E"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Interponer recurso de apelación (sentencias)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929978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3 dias hábiles desde notificación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BA7958C"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322 CGP</w:t>
                  </w:r>
                </w:p>
              </w:tc>
            </w:tr>
            <w:tr w:rsidR="001C1C8A" w:rsidRPr="001C1C8A" w14:paraId="21B05DE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8C90B51"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lastRenderedPageBreak/>
                    <w:t>Sustentar recurso de apelación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3C3FF4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5 dias hábiles en segunda instancia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124893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327 CGP</w:t>
                  </w:r>
                </w:p>
              </w:tc>
            </w:tr>
            <w:tr w:rsidR="001C1C8A" w:rsidRPr="001C1C8A" w14:paraId="24CC414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60ED11E"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Proponer excepciones previas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17924D9"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Dentro del término para contestar la demanda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F874E1C"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100 CGP</w:t>
                  </w:r>
                </w:p>
              </w:tc>
            </w:tr>
            <w:tr w:rsidR="001C1C8A" w:rsidRPr="001C1C8A" w14:paraId="5A308B1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AF0C2C7"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Solicitar aclaración/corrección de sentencia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16D3229"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3 dias hábiles desde notificación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52A133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285 CGP</w:t>
                  </w:r>
                </w:p>
              </w:tc>
            </w:tr>
          </w:tbl>
          <w:p w14:paraId="13549DDE" w14:textId="77777777" w:rsidR="001C1C8A" w:rsidRPr="001C1C8A" w:rsidRDefault="001C1C8A" w:rsidP="00DD2DD5">
            <w:pPr>
              <w:jc w:val="both"/>
              <w:rPr>
                <w:rFonts w:ascii="Arial" w:hAnsi="Arial" w:cs="Arial"/>
                <w:sz w:val="22"/>
                <w:szCs w:val="22"/>
              </w:rPr>
            </w:pPr>
          </w:p>
        </w:tc>
      </w:tr>
    </w:tbl>
    <w:p w14:paraId="1551C149" w14:textId="77777777" w:rsidR="001C1C8A" w:rsidRPr="001C1C8A" w:rsidRDefault="001C1C8A" w:rsidP="001C1C8A">
      <w:pPr>
        <w:jc w:val="both"/>
        <w:rPr>
          <w:rFonts w:ascii="Arial" w:hAnsi="Arial" w:cs="Arial"/>
          <w:sz w:val="22"/>
          <w:szCs w:val="22"/>
        </w:rPr>
      </w:pPr>
    </w:p>
    <w:p w14:paraId="7C70B8E6"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CAPSULA 4.7</w:t>
      </w:r>
    </w:p>
    <w:p w14:paraId="0B725648" w14:textId="77777777" w:rsidR="001C1C8A" w:rsidRPr="001C1C8A" w:rsidRDefault="001C1C8A" w:rsidP="001C1C8A">
      <w:pPr>
        <w:jc w:val="both"/>
        <w:rPr>
          <w:rFonts w:ascii="Arial" w:hAnsi="Arial" w:cs="Arial"/>
          <w:b/>
          <w:bCs/>
          <w:sz w:val="22"/>
          <w:szCs w:val="22"/>
        </w:rPr>
      </w:pPr>
      <w:r w:rsidRPr="001C1C8A">
        <w:rPr>
          <w:rFonts w:ascii="Arial" w:hAnsi="Arial" w:cs="Arial"/>
          <w:b/>
          <w:bCs/>
          <w:sz w:val="22"/>
          <w:szCs w:val="22"/>
        </w:rPr>
        <w:t>LAS NOTIFICACIONES: LA GARANTÍA DE LA CONTRADICCIÓN</w:t>
      </w:r>
    </w:p>
    <w:p w14:paraId="3C64AC0C"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4.7.1 Porque son tan Importantes las Notificaciones?</w:t>
      </w:r>
    </w:p>
    <w:p w14:paraId="7D29226B"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Las notificaciones son el mecanismo por el que el proceso hace saber a las partes y a terceros las decisiones que el juez va adoptando. Son, en esencia, la garantía material del derecho de contradicción: no se puede defender de lo que no sabe que existe.</w:t>
      </w:r>
    </w:p>
    <w:p w14:paraId="2E1A6FD0"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Una notificación defectuosa puede generar la nulidad de todo lo actuado con posterioridad a ella (Art. 133 núm. 8 CGP), pues si la parte no fue correctamente notificada, no pudo ejercer su derecho de defensa. Este es el vicio de nulidad más frecuente en la práctica del litigio civil colombiano.</w:t>
      </w:r>
    </w:p>
    <w:p w14:paraId="47404BAA"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El CGP regula las notificaciones en los artículos 290 a 302. La Ley 2213 de 2022 (que hizo definitiva la justicia digital en Colombia) modifico y amplio las formas de notificación electrónica, especialmente la notificación por mensaje de datos.</w:t>
      </w:r>
    </w:p>
    <w:p w14:paraId="08A38F14" w14:textId="77777777" w:rsidR="001C1C8A" w:rsidRPr="001C1C8A" w:rsidRDefault="001C1C8A" w:rsidP="001C1C8A">
      <w:pPr>
        <w:jc w:val="both"/>
        <w:rPr>
          <w:rFonts w:ascii="Arial" w:hAnsi="Arial" w:cs="Arial"/>
          <w:sz w:val="22"/>
          <w:szCs w:val="22"/>
        </w:rPr>
      </w:pPr>
    </w:p>
    <w:p w14:paraId="05B4AF56"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4.7.2 Los Tipos de Notificación en el CGP</w:t>
      </w:r>
    </w:p>
    <w:tbl>
      <w:tblPr>
        <w:tblW w:w="0" w:type="auto"/>
        <w:tblCellMar>
          <w:top w:w="15" w:type="dxa"/>
          <w:left w:w="15" w:type="dxa"/>
          <w:bottom w:w="15" w:type="dxa"/>
          <w:right w:w="15" w:type="dxa"/>
        </w:tblCellMar>
        <w:tblLook w:val="04A0" w:firstRow="1" w:lastRow="0" w:firstColumn="1" w:lastColumn="0" w:noHBand="0" w:noVBand="1"/>
      </w:tblPr>
      <w:tblGrid>
        <w:gridCol w:w="2224"/>
        <w:gridCol w:w="2938"/>
        <w:gridCol w:w="2417"/>
        <w:gridCol w:w="1249"/>
      </w:tblGrid>
      <w:tr w:rsidR="001C1C8A" w:rsidRPr="001C1C8A" w14:paraId="55DCCBD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FB72B23"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TIPO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0FEE70F"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DF30257"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CUANDO SE USA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EAD9FEB"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NORMA CGP</w:t>
            </w:r>
          </w:p>
        </w:tc>
      </w:tr>
      <w:tr w:rsidR="001C1C8A" w:rsidRPr="001C1C8A" w14:paraId="4C9ACD7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283FBC7"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NOTIFICACIÓN PERSONAL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C5EB584"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La más solemne. El funcionario judicial comunica personalmente al notificado la decisión, quien firma un recibo. Es la única que puede vincular por primera vez al demandado al proceso.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86679F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Auto admisorio de la demanda al demandado. Primera notificación de cualquier proceso.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E610F74"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Arts. 291-292 CGP</w:t>
            </w:r>
          </w:p>
        </w:tc>
      </w:tr>
      <w:tr w:rsidR="001C1C8A" w:rsidRPr="001C1C8A" w14:paraId="2541862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9C99038"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NOTIFICACIÓN POR AVISO (en reemplazo de la personal)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4AE9872"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Cuando el demandado no puede ser hallado para notificación personal, se le notifica por aviso enviado a su dirección o electrónico.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91B4107"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Cuando fracasa la notificación personal por no encontrar al demandado.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59A8DDF"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292 CGP / Ley 2213/22</w:t>
            </w:r>
          </w:p>
        </w:tc>
      </w:tr>
      <w:tr w:rsidR="001C1C8A" w:rsidRPr="001C1C8A" w14:paraId="3BEC927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DC4F783"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NOTIFICACIÓN POR ESTADO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85838E6"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Se fija en el tablero fisico y electrónico del juzgado una lista de los autos que deben notificarse ese día. Las partes que ya estan vinculadas al proceso se notifican por este medio.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B8BC75E"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Todos los autos dictados despues de la primera notificación. La mayoría de las notificaciones del proceso.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C6C25A2"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295 CGP</w:t>
            </w:r>
          </w:p>
        </w:tc>
      </w:tr>
      <w:tr w:rsidR="001C1C8A" w:rsidRPr="001C1C8A" w14:paraId="4BEFE44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DBAC3AD"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lastRenderedPageBreak/>
              <w:t>NOTIFICACIÓN POR ESTRADOS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0F1C0C2"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En audiencia, las decisiones que el juez dicta verbalmente quedan notificadas en el mismo momento en que las pronuncia. Las partes quedan notificadas por el solo hecho de estar presentes.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57C7E29"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Toda decisión proferida en audiencia pública.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400C0C4"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294 CGP</w:t>
            </w:r>
          </w:p>
        </w:tc>
      </w:tr>
      <w:tr w:rsidR="001C1C8A" w:rsidRPr="001C1C8A" w14:paraId="1F3D331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D15B07E"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NOTIFICACIÓN POR CONDUCTA CONCLUYENTE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420A1CC"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Cuando una parte realiza una actuación que supone necesariamente haber conocido la decisión, se entiende notificada aunque no haya sido notificada formalmente.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2EBE8A7"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Ej.: si el demandado presenta un recurso contra el auto admisorio, se entiende notificado del aunque no haya habido notificación formal.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F490478"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301 CGP</w:t>
            </w:r>
          </w:p>
        </w:tc>
      </w:tr>
      <w:tr w:rsidR="001C1C8A" w:rsidRPr="001C1C8A" w14:paraId="0F50D8E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9DE768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NOTIFICACIÓN ELECTRÓNICA (Ley 2213/22)</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6765CE8"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Mensaje de datos enviado al correo electrónico registrado en el sistema de información de la Rama Judicial o indicado por las partes. Equiparada a la notificación por estado.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5D702C6"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Notificaciones rutinarias del proceso a partes con correo electrónico registrado.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492659B" w14:textId="77777777" w:rsidR="001C1C8A" w:rsidRPr="001C1C8A" w:rsidRDefault="001C1C8A" w:rsidP="00DD2DD5">
            <w:pPr>
              <w:jc w:val="both"/>
              <w:rPr>
                <w:rFonts w:ascii="Arial" w:hAnsi="Arial" w:cs="Arial"/>
                <w:sz w:val="22"/>
                <w:szCs w:val="22"/>
              </w:rPr>
            </w:pPr>
            <w:r w:rsidRPr="001C1C8A">
              <w:rPr>
                <w:rFonts w:ascii="Arial" w:hAnsi="Arial" w:cs="Arial"/>
                <w:sz w:val="22"/>
                <w:szCs w:val="22"/>
              </w:rPr>
              <w:t>Art. 8 Ley 2213/22</w:t>
            </w:r>
          </w:p>
        </w:tc>
      </w:tr>
    </w:tbl>
    <w:p w14:paraId="2B9EF256" w14:textId="77777777" w:rsidR="001C1C8A" w:rsidRPr="001C1C8A" w:rsidRDefault="001C1C8A" w:rsidP="001C1C8A">
      <w:pPr>
        <w:jc w:val="both"/>
        <w:rPr>
          <w:rFonts w:ascii="Arial" w:hAnsi="Arial" w:cs="Arial"/>
          <w:sz w:val="22"/>
          <w:szCs w:val="22"/>
        </w:rPr>
      </w:pPr>
    </w:p>
    <w:p w14:paraId="0BC398D9" w14:textId="77777777" w:rsidR="001C1C8A" w:rsidRPr="001C1C8A" w:rsidRDefault="001C1C8A" w:rsidP="001C1C8A">
      <w:pPr>
        <w:jc w:val="both"/>
        <w:rPr>
          <w:rFonts w:ascii="Arial" w:hAnsi="Arial" w:cs="Arial"/>
          <w:b/>
          <w:bCs/>
          <w:sz w:val="22"/>
          <w:szCs w:val="22"/>
          <w:u w:val="single"/>
        </w:rPr>
      </w:pPr>
      <w:r w:rsidRPr="001C1C8A">
        <w:rPr>
          <w:rFonts w:ascii="Arial" w:hAnsi="Arial" w:cs="Arial"/>
          <w:b/>
          <w:bCs/>
          <w:sz w:val="22"/>
          <w:szCs w:val="22"/>
          <w:u w:val="single"/>
        </w:rPr>
        <w:t>4.7.3 La Notificación Personal: La Reina de las Notificaciones</w:t>
      </w:r>
    </w:p>
    <w:p w14:paraId="69CB7ADF" w14:textId="77777777" w:rsidR="001C1C8A" w:rsidRPr="001C1C8A" w:rsidRDefault="001C1C8A" w:rsidP="001C1C8A">
      <w:pPr>
        <w:jc w:val="both"/>
        <w:rPr>
          <w:rFonts w:ascii="Arial" w:hAnsi="Arial" w:cs="Arial"/>
          <w:sz w:val="22"/>
          <w:szCs w:val="22"/>
        </w:rPr>
      </w:pPr>
    </w:p>
    <w:p w14:paraId="3E35A623"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La NOTIFICACIÓN PERSONAL es la más importante porque es la única que puede VINCULAR AL DEMANDADO AL PROCESO por primera vez. Sin notificación personal valida del auto admisorio al demandado, el proceso no puede avanzar: el demandado no sabe que fue demandado y no puede ejercer su defensa.</w:t>
      </w:r>
    </w:p>
    <w:p w14:paraId="2B33607C"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El artículo 291 del CGP establece el procedimiento para la notificación personal. Con la Ley 2213 de 2022, la notificación personal puede hacerse de tres formas:</w:t>
      </w:r>
    </w:p>
    <w:p w14:paraId="6D0951BB" w14:textId="77777777" w:rsidR="001C1C8A" w:rsidRPr="001C1C8A" w:rsidRDefault="001C1C8A" w:rsidP="001C1C8A">
      <w:pPr>
        <w:numPr>
          <w:ilvl w:val="0"/>
          <w:numId w:val="44"/>
        </w:numPr>
        <w:jc w:val="both"/>
        <w:rPr>
          <w:rFonts w:ascii="Arial" w:hAnsi="Arial" w:cs="Arial"/>
          <w:sz w:val="22"/>
          <w:szCs w:val="22"/>
        </w:rPr>
      </w:pPr>
      <w:r w:rsidRPr="001C1C8A">
        <w:rPr>
          <w:rFonts w:ascii="Arial" w:hAnsi="Arial" w:cs="Arial"/>
          <w:sz w:val="22"/>
          <w:szCs w:val="22"/>
        </w:rPr>
        <w:t>PERSONALMENTE en el despacho judicial: cuando el demandado comparece voluntariamente al juzgado o es citado a comparecer.</w:t>
      </w:r>
    </w:p>
    <w:p w14:paraId="1991673A" w14:textId="77777777" w:rsidR="001C1C8A" w:rsidRPr="001C1C8A" w:rsidRDefault="001C1C8A" w:rsidP="001C1C8A">
      <w:pPr>
        <w:numPr>
          <w:ilvl w:val="0"/>
          <w:numId w:val="44"/>
        </w:numPr>
        <w:jc w:val="both"/>
        <w:rPr>
          <w:rFonts w:ascii="Arial" w:hAnsi="Arial" w:cs="Arial"/>
          <w:sz w:val="22"/>
          <w:szCs w:val="22"/>
        </w:rPr>
      </w:pPr>
      <w:r w:rsidRPr="001C1C8A">
        <w:rPr>
          <w:rFonts w:ascii="Arial" w:hAnsi="Arial" w:cs="Arial"/>
          <w:sz w:val="22"/>
          <w:szCs w:val="22"/>
        </w:rPr>
        <w:t>A TRAVÉS DE MENSAJE DE DATOS: enviando el auto admisorio al correo electrónico del demandado que conste en el registro mercantil, RUT, o que el demandante aporte. Si el demandado no responde en 3 dias hábiles, se entiende notificado. Art. 291 par. CGP / Ley 2213/22.</w:t>
      </w:r>
    </w:p>
    <w:p w14:paraId="7A31CBF2" w14:textId="77777777" w:rsidR="001C1C8A" w:rsidRPr="001C1C8A" w:rsidRDefault="001C1C8A" w:rsidP="001C1C8A">
      <w:pPr>
        <w:numPr>
          <w:ilvl w:val="0"/>
          <w:numId w:val="44"/>
        </w:numPr>
        <w:jc w:val="both"/>
        <w:rPr>
          <w:rFonts w:ascii="Arial" w:hAnsi="Arial" w:cs="Arial"/>
          <w:sz w:val="22"/>
          <w:szCs w:val="22"/>
        </w:rPr>
      </w:pPr>
      <w:r w:rsidRPr="001C1C8A">
        <w:rPr>
          <w:rFonts w:ascii="Arial" w:hAnsi="Arial" w:cs="Arial"/>
          <w:sz w:val="22"/>
          <w:szCs w:val="22"/>
        </w:rPr>
        <w:t>MEDIANTE NOTIFICACIÓN POR AVISO FISICO: cuando no es posible la notificación electrónica ni personal directa, se envia aviso a la última dirección conocida del demandado.</w:t>
      </w:r>
    </w:p>
    <w:p w14:paraId="636A05BD" w14:textId="77777777" w:rsidR="001C1C8A" w:rsidRPr="001C1C8A" w:rsidRDefault="001C1C8A" w:rsidP="001C1C8A">
      <w:pPr>
        <w:jc w:val="both"/>
        <w:rPr>
          <w:rFonts w:ascii="Arial" w:hAnsi="Arial" w:cs="Arial"/>
          <w:sz w:val="22"/>
          <w:szCs w:val="22"/>
        </w:rPr>
      </w:pPr>
    </w:p>
    <w:p w14:paraId="756B0331"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4.7.4 La Notificación Electrónica: La Revolución de la Ley 2213 de 2022</w:t>
      </w:r>
    </w:p>
    <w:p w14:paraId="25665F58"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La Ley 2213 de 2022 'Código General del Proceso Digital' realizo la transición definitiva hacia la justicia electrónica en Colombia. Sus innovaciones más importantes en materia de notificaciones son:</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1C1C8A" w:rsidRPr="001C1C8A" w14:paraId="7531332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4EDDA"/>
            <w:tcMar>
              <w:top w:w="140" w:type="dxa"/>
              <w:left w:w="200" w:type="dxa"/>
              <w:bottom w:w="140" w:type="dxa"/>
              <w:right w:w="200" w:type="dxa"/>
            </w:tcMar>
            <w:hideMark/>
          </w:tcPr>
          <w:p w14:paraId="63648636"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lastRenderedPageBreak/>
              <w:t>INNOVACIONES DE LA LEY 2213 DE 2022 EN NOTIFICACIONES</w:t>
            </w:r>
          </w:p>
          <w:p w14:paraId="227DBE41"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1. Expediente digital obligatorio: </w:t>
            </w:r>
            <w:r w:rsidRPr="001C1C8A">
              <w:rPr>
                <w:rFonts w:ascii="Arial" w:hAnsi="Arial" w:cs="Arial"/>
                <w:sz w:val="22"/>
                <w:szCs w:val="22"/>
              </w:rPr>
              <w:t>Todos los procesos civiles deben tramitarse en expediente electrónico. Los escritos se presentan por medio digital, las audiencias se graban y quedan en el expediente digital.</w:t>
            </w:r>
          </w:p>
          <w:p w14:paraId="4CF88806" w14:textId="77777777" w:rsidR="001C1C8A" w:rsidRPr="001C1C8A" w:rsidRDefault="001C1C8A" w:rsidP="00DD2DD5">
            <w:pPr>
              <w:jc w:val="both"/>
              <w:rPr>
                <w:rFonts w:ascii="Arial" w:hAnsi="Arial" w:cs="Arial"/>
                <w:sz w:val="22"/>
                <w:szCs w:val="22"/>
              </w:rPr>
            </w:pPr>
          </w:p>
          <w:p w14:paraId="758721CC"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2. Notificación por mensaje de datos como regla general: </w:t>
            </w:r>
            <w:r w:rsidRPr="001C1C8A">
              <w:rPr>
                <w:rFonts w:ascii="Arial" w:hAnsi="Arial" w:cs="Arial"/>
                <w:sz w:val="22"/>
                <w:szCs w:val="22"/>
              </w:rPr>
              <w:t>Para personas jurídicas, comerciantes y personas naturales con correo registrado, la notificación por mensaje de datos equivale a la notificación personal.</w:t>
            </w:r>
          </w:p>
          <w:p w14:paraId="5C288439" w14:textId="77777777" w:rsidR="001C1C8A" w:rsidRPr="001C1C8A" w:rsidRDefault="001C1C8A" w:rsidP="00DD2DD5">
            <w:pPr>
              <w:jc w:val="both"/>
              <w:rPr>
                <w:rFonts w:ascii="Arial" w:hAnsi="Arial" w:cs="Arial"/>
                <w:sz w:val="22"/>
                <w:szCs w:val="22"/>
              </w:rPr>
            </w:pPr>
          </w:p>
          <w:p w14:paraId="196554F4"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3. Registro electrónico obligatorio para personas jurídicas: </w:t>
            </w:r>
            <w:r w:rsidRPr="001C1C8A">
              <w:rPr>
                <w:rFonts w:ascii="Arial" w:hAnsi="Arial" w:cs="Arial"/>
                <w:sz w:val="22"/>
                <w:szCs w:val="22"/>
              </w:rPr>
              <w:t>Las personas jurídicas deben tener registrado un correo electrónico en la Cámara de Comercio (en el RUE). Si no lo tienen, su notificación se entiende surtida con el envio al correo que aparezca en el registro.</w:t>
            </w:r>
          </w:p>
          <w:p w14:paraId="5F78CABD" w14:textId="77777777" w:rsidR="001C1C8A" w:rsidRPr="001C1C8A" w:rsidRDefault="001C1C8A" w:rsidP="00DD2DD5">
            <w:pPr>
              <w:jc w:val="both"/>
              <w:rPr>
                <w:rFonts w:ascii="Arial" w:hAnsi="Arial" w:cs="Arial"/>
                <w:sz w:val="22"/>
                <w:szCs w:val="22"/>
              </w:rPr>
            </w:pPr>
          </w:p>
          <w:p w14:paraId="3806940B"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4. Audiencias virtuales: </w:t>
            </w:r>
            <w:r w:rsidRPr="001C1C8A">
              <w:rPr>
                <w:rFonts w:ascii="Arial" w:hAnsi="Arial" w:cs="Arial"/>
                <w:sz w:val="22"/>
                <w:szCs w:val="22"/>
              </w:rPr>
              <w:t>Las audiencias pueden realizarse de manera virtual (por videoconferencia) con los mismos efectos que las presenciales, garantizando la inmediación y la publicidad.</w:t>
            </w:r>
          </w:p>
          <w:p w14:paraId="6F6A4C99" w14:textId="77777777" w:rsidR="001C1C8A" w:rsidRPr="001C1C8A" w:rsidRDefault="001C1C8A" w:rsidP="00DD2DD5">
            <w:pPr>
              <w:jc w:val="both"/>
              <w:rPr>
                <w:rFonts w:ascii="Arial" w:hAnsi="Arial" w:cs="Arial"/>
                <w:sz w:val="22"/>
                <w:szCs w:val="22"/>
              </w:rPr>
            </w:pPr>
          </w:p>
          <w:p w14:paraId="5C098B48" w14:textId="77777777" w:rsidR="001C1C8A" w:rsidRPr="001C1C8A" w:rsidRDefault="001C1C8A" w:rsidP="00DD2DD5">
            <w:pPr>
              <w:jc w:val="both"/>
              <w:rPr>
                <w:rFonts w:ascii="Arial" w:hAnsi="Arial" w:cs="Arial"/>
                <w:sz w:val="22"/>
                <w:szCs w:val="22"/>
              </w:rPr>
            </w:pPr>
            <w:r w:rsidRPr="001C1C8A">
              <w:rPr>
                <w:rFonts w:ascii="Arial" w:hAnsi="Arial" w:cs="Arial"/>
                <w:b/>
                <w:bCs/>
                <w:sz w:val="22"/>
                <w:szCs w:val="22"/>
              </w:rPr>
              <w:t xml:space="preserve">5. Notificación por estado electrónico: </w:t>
            </w:r>
            <w:r w:rsidRPr="001C1C8A">
              <w:rPr>
                <w:rFonts w:ascii="Arial" w:hAnsi="Arial" w:cs="Arial"/>
                <w:sz w:val="22"/>
                <w:szCs w:val="22"/>
              </w:rPr>
              <w:t>El 'estado' que antes se fijaba físicamente en la puerta del juzgado ahora se publica en la página web de la Rama Judicial, con los mismos efectos.</w:t>
            </w:r>
          </w:p>
        </w:tc>
      </w:tr>
    </w:tbl>
    <w:p w14:paraId="7B85465F" w14:textId="77777777" w:rsidR="001C1C8A" w:rsidRPr="001C1C8A" w:rsidRDefault="001C1C8A" w:rsidP="001C1C8A">
      <w:pPr>
        <w:jc w:val="both"/>
        <w:rPr>
          <w:rFonts w:ascii="Arial" w:hAnsi="Arial" w:cs="Arial"/>
          <w:sz w:val="22"/>
          <w:szCs w:val="22"/>
        </w:rPr>
      </w:pPr>
    </w:p>
    <w:p w14:paraId="42E9A29F" w14:textId="77777777" w:rsidR="001C1C8A" w:rsidRPr="001C1C8A" w:rsidRDefault="001C1C8A" w:rsidP="001C1C8A">
      <w:pPr>
        <w:jc w:val="both"/>
        <w:rPr>
          <w:rFonts w:ascii="Arial" w:hAnsi="Arial" w:cs="Arial"/>
          <w:sz w:val="22"/>
          <w:szCs w:val="22"/>
        </w:rPr>
      </w:pPr>
      <w:r w:rsidRPr="001C1C8A">
        <w:rPr>
          <w:rFonts w:ascii="Arial" w:hAnsi="Arial" w:cs="Arial"/>
          <w:b/>
          <w:bCs/>
          <w:sz w:val="22"/>
          <w:szCs w:val="22"/>
          <w:u w:val="single"/>
        </w:rPr>
        <w:t>4.7.5 La Notificación Defectuosa: La Nulidad Insanable</w:t>
      </w:r>
    </w:p>
    <w:p w14:paraId="18108E32"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Cuando la notificación del auto admisorio al demandado no se realizó conforme a las normas del CGP y la Ley 2213/22, se configura la causal de nulidad del articulo 133 numeral 8 del CGP: 'Cuando no se practica en legal forma la notificación al demandado o a su representante.'</w:t>
      </w:r>
    </w:p>
    <w:p w14:paraId="4E2BE53C" w14:textId="77777777" w:rsidR="001C1C8A" w:rsidRPr="001C1C8A" w:rsidRDefault="001C1C8A" w:rsidP="001C1C8A">
      <w:pPr>
        <w:jc w:val="both"/>
        <w:rPr>
          <w:rFonts w:ascii="Arial" w:hAnsi="Arial" w:cs="Arial"/>
          <w:sz w:val="22"/>
          <w:szCs w:val="22"/>
        </w:rPr>
      </w:pPr>
      <w:r w:rsidRPr="001C1C8A">
        <w:rPr>
          <w:rFonts w:ascii="Arial" w:hAnsi="Arial" w:cs="Arial"/>
          <w:sz w:val="22"/>
          <w:szCs w:val="22"/>
        </w:rPr>
        <w:t>Esta nulidad es SANABLE: si el demandado comparece al proceso sin alegar el vicio, se entiende que sanea tácitamente la notificación defectuosa (Art. 132 CGP). Pero si el demandado alega la nulidad, todo lo actuado desde la notificación defectuosa quedaría sin efecto.</w:t>
      </w:r>
    </w:p>
    <w:p w14:paraId="05061D2C" w14:textId="77777777" w:rsidR="001C1C8A" w:rsidRPr="001C1C8A" w:rsidRDefault="001C1C8A" w:rsidP="001C1C8A">
      <w:pPr>
        <w:jc w:val="both"/>
        <w:rPr>
          <w:rFonts w:ascii="Arial" w:hAnsi="Arial" w:cs="Arial"/>
          <w:sz w:val="22"/>
          <w:szCs w:val="22"/>
        </w:rPr>
      </w:pPr>
    </w:p>
    <w:p w14:paraId="5699C373" w14:textId="77777777" w:rsidR="001C1C8A" w:rsidRPr="001C1C8A" w:rsidRDefault="001C1C8A" w:rsidP="001C1C8A">
      <w:pPr>
        <w:jc w:val="both"/>
        <w:rPr>
          <w:rFonts w:ascii="Arial" w:hAnsi="Arial" w:cs="Arial"/>
          <w:sz w:val="22"/>
          <w:szCs w:val="22"/>
        </w:rPr>
      </w:pPr>
    </w:p>
    <w:p w14:paraId="63EC01E5" w14:textId="77777777" w:rsidR="001C1C8A" w:rsidRPr="001C1C8A" w:rsidRDefault="001C1C8A" w:rsidP="001C1C8A">
      <w:pPr>
        <w:jc w:val="both"/>
        <w:rPr>
          <w:rFonts w:ascii="Arial" w:hAnsi="Arial" w:cs="Arial"/>
          <w:sz w:val="22"/>
          <w:szCs w:val="22"/>
        </w:rPr>
      </w:pPr>
    </w:p>
    <w:p w14:paraId="6469321E" w14:textId="77777777" w:rsidR="00012688" w:rsidRPr="001C1C8A" w:rsidRDefault="00012688" w:rsidP="001C1C8A">
      <w:pPr>
        <w:rPr>
          <w:rFonts w:ascii="Arial" w:hAnsi="Arial" w:cs="Arial"/>
        </w:rPr>
      </w:pPr>
    </w:p>
    <w:sectPr w:rsidR="00012688" w:rsidRPr="001C1C8A">
      <w:headerReference w:type="default" r:id="rId7"/>
      <w:footerReference w:type="default" r:id="rId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D9EE06" w14:textId="77777777" w:rsidR="00333CFC" w:rsidRDefault="00333CFC">
      <w:r>
        <w:separator/>
      </w:r>
    </w:p>
  </w:endnote>
  <w:endnote w:type="continuationSeparator" w:id="0">
    <w:p w14:paraId="12364852" w14:textId="77777777" w:rsidR="00333CFC" w:rsidRDefault="00333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7E0E3B55-FC0F-43F9-AC93-E18D5CF8DCEA}"/>
    <w:embedBold r:id="rId2" w:fontKey="{CF55DC82-19F9-4E95-849A-CCACB0E12090}"/>
    <w:embedItalic r:id="rId3" w:fontKey="{1A8BD013-DDD8-42F2-AF30-F890A2046E55}"/>
  </w:font>
  <w:font w:name="Cambria">
    <w:panose1 w:val="02040503050406030204"/>
    <w:charset w:val="00"/>
    <w:family w:val="roman"/>
    <w:pitch w:val="variable"/>
    <w:sig w:usb0="E00006FF" w:usb1="420024FF" w:usb2="02000000" w:usb3="00000000" w:csb0="0000019F" w:csb1="00000000"/>
    <w:embedRegular r:id="rId4" w:fontKey="{44EE2DE7-A716-4E82-B0EE-EC58950B3EA2}"/>
    <w:embedItalic r:id="rId5" w:fontKey="{B43B8AC1-2723-4BE3-B06C-2F37403603AD}"/>
  </w:font>
  <w:font w:name="Georgia">
    <w:panose1 w:val="02040502050405020303"/>
    <w:charset w:val="00"/>
    <w:family w:val="roman"/>
    <w:pitch w:val="variable"/>
    <w:sig w:usb0="00000287" w:usb1="00000000" w:usb2="00000000" w:usb3="00000000" w:csb0="0000009F" w:csb1="00000000"/>
    <w:embedItalic r:id="rId6" w:fontKey="{4BBA6D49-7E1D-4CB0-99BB-0A1D5A65B711}"/>
  </w:font>
  <w:font w:name="Arial">
    <w:panose1 w:val="020B0604020202020204"/>
    <w:charset w:val="00"/>
    <w:family w:val="swiss"/>
    <w:pitch w:val="variable"/>
    <w:sig w:usb0="E0002EFF" w:usb1="C000785B" w:usb2="00000009" w:usb3="00000000" w:csb0="000001FF" w:csb1="00000000"/>
  </w:font>
  <w:font w:name="Poppins ExtraLight">
    <w:charset w:val="00"/>
    <w:family w:val="auto"/>
    <w:pitch w:val="variable"/>
    <w:sig w:usb0="00008007" w:usb1="00000000" w:usb2="00000000" w:usb3="00000000" w:csb0="00000093" w:csb1="00000000"/>
    <w:embedRegular r:id="rId7" w:fontKey="{E0F388A2-76B9-4BC3-BCA2-9BC45D0A82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60658" w14:textId="77777777" w:rsidR="00012688" w:rsidRDefault="00000000">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rPr>
      <mc:AlternateContent>
        <mc:Choice Requires="wpg">
          <w:drawing>
            <wp:inline distT="114300" distB="114300" distL="114300" distR="114300" wp14:anchorId="32933D76" wp14:editId="55A9953C">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 n e o u p r o . c o m</w:t>
    </w:r>
    <w:r>
      <w:rPr>
        <w:noProof/>
      </w:rPr>
      <mc:AlternateContent>
        <mc:Choice Requires="wpg">
          <w:drawing>
            <wp:anchor distT="0" distB="0" distL="114300" distR="114300" simplePos="0" relativeHeight="251658240" behindDoc="0" locked="0" layoutInCell="1" hidden="0" allowOverlap="1" wp14:anchorId="65CEEF91" wp14:editId="4EC98689">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723646" w14:textId="77777777" w:rsidR="00333CFC" w:rsidRDefault="00333CFC">
      <w:r>
        <w:separator/>
      </w:r>
    </w:p>
  </w:footnote>
  <w:footnote w:type="continuationSeparator" w:id="0">
    <w:p w14:paraId="559280DF" w14:textId="77777777" w:rsidR="00333CFC" w:rsidRDefault="00333C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446DB" w14:textId="77777777" w:rsidR="00012688" w:rsidRDefault="00000000">
    <w:pPr>
      <w:pBdr>
        <w:top w:val="nil"/>
        <w:left w:val="nil"/>
        <w:bottom w:val="nil"/>
        <w:right w:val="nil"/>
        <w:between w:val="nil"/>
      </w:pBdr>
      <w:tabs>
        <w:tab w:val="center" w:pos="4419"/>
        <w:tab w:val="right" w:pos="8838"/>
        <w:tab w:val="center" w:pos="3731"/>
      </w:tabs>
      <w:rPr>
        <w:color w:val="000000"/>
      </w:rPr>
    </w:pPr>
    <w:r>
      <w:rPr>
        <w:noProof/>
      </w:rPr>
      <w:drawing>
        <wp:anchor distT="0" distB="0" distL="114300" distR="114300" simplePos="0" relativeHeight="251656192" behindDoc="0" locked="0" layoutInCell="1" hidden="0" allowOverlap="1" wp14:anchorId="7D7A1ED4" wp14:editId="50FDA2E6">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w14:anchorId="2D5F43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41.9pt;height:441.9pt;z-index:-251657216;mso-position-horizontal:center;mso-position-horizontal-relative:margin;mso-position-vertical:center;mso-position-vertical-relative:margin">
          <v:imagedata r:id="rId2" o:title="image3" gain="19661f" blacklevel="22938f"/>
          <w10:wrap anchorx="margin" anchory="margin"/>
        </v:shape>
      </w:pict>
    </w:r>
    <w:r>
      <w:rPr>
        <w:color w:val="000000"/>
      </w:rPr>
      <w:tab/>
    </w:r>
    <w:r>
      <w:rPr>
        <w:noProof/>
      </w:rPr>
      <mc:AlternateContent>
        <mc:Choice Requires="wpg">
          <w:drawing>
            <wp:anchor distT="0" distB="0" distL="114300" distR="114300" simplePos="0" relativeHeight="251657216" behindDoc="0" locked="0" layoutInCell="1" hidden="0" allowOverlap="1" wp14:anchorId="3AA869FB" wp14:editId="69F68D2F">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2.png"/>
              <a:graphic>
                <a:graphicData uri="http://schemas.openxmlformats.org/drawingml/2006/picture">
                  <pic:pic>
                    <pic:nvPicPr>
                      <pic:cNvPr id="0" name="image2.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61148"/>
    <w:multiLevelType w:val="multilevel"/>
    <w:tmpl w:val="43D0F7AA"/>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BD694D"/>
    <w:multiLevelType w:val="multilevel"/>
    <w:tmpl w:val="03648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9833F3"/>
    <w:multiLevelType w:val="multilevel"/>
    <w:tmpl w:val="459A959A"/>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24C2900"/>
    <w:multiLevelType w:val="multilevel"/>
    <w:tmpl w:val="443E4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165625"/>
    <w:multiLevelType w:val="multilevel"/>
    <w:tmpl w:val="FD0A19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7276857"/>
    <w:multiLevelType w:val="multilevel"/>
    <w:tmpl w:val="1FDA3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3C1286"/>
    <w:multiLevelType w:val="multilevel"/>
    <w:tmpl w:val="BC92AD8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FC32339"/>
    <w:multiLevelType w:val="multilevel"/>
    <w:tmpl w:val="18B68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FC632F8"/>
    <w:multiLevelType w:val="multilevel"/>
    <w:tmpl w:val="3A46E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FE429F8"/>
    <w:multiLevelType w:val="multilevel"/>
    <w:tmpl w:val="B0CE6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0BC7A5D"/>
    <w:multiLevelType w:val="multilevel"/>
    <w:tmpl w:val="0F2A2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5A6CE1"/>
    <w:multiLevelType w:val="multilevel"/>
    <w:tmpl w:val="7B40D6B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7161F56"/>
    <w:multiLevelType w:val="multilevel"/>
    <w:tmpl w:val="AE2EB6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7837BD9"/>
    <w:multiLevelType w:val="multilevel"/>
    <w:tmpl w:val="F2707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81B59A0"/>
    <w:multiLevelType w:val="multilevel"/>
    <w:tmpl w:val="0DA85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AF0078"/>
    <w:multiLevelType w:val="multilevel"/>
    <w:tmpl w:val="55AE6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59563D"/>
    <w:multiLevelType w:val="multilevel"/>
    <w:tmpl w:val="67EEA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B2A2043"/>
    <w:multiLevelType w:val="multilevel"/>
    <w:tmpl w:val="AFCA5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0416688"/>
    <w:multiLevelType w:val="multilevel"/>
    <w:tmpl w:val="9AF07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30A4613"/>
    <w:multiLevelType w:val="multilevel"/>
    <w:tmpl w:val="0B4496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5BE7FF8"/>
    <w:multiLevelType w:val="multilevel"/>
    <w:tmpl w:val="2B54B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845653D"/>
    <w:multiLevelType w:val="multilevel"/>
    <w:tmpl w:val="53123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0EA205C"/>
    <w:multiLevelType w:val="multilevel"/>
    <w:tmpl w:val="5AF25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23E0863"/>
    <w:multiLevelType w:val="multilevel"/>
    <w:tmpl w:val="BAC46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2EB771B"/>
    <w:multiLevelType w:val="multilevel"/>
    <w:tmpl w:val="35EC0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6183D50"/>
    <w:multiLevelType w:val="multilevel"/>
    <w:tmpl w:val="C1F0CBAC"/>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6BC676B"/>
    <w:multiLevelType w:val="multilevel"/>
    <w:tmpl w:val="607A9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7DB5299"/>
    <w:multiLevelType w:val="multilevel"/>
    <w:tmpl w:val="E028F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A5729A9"/>
    <w:multiLevelType w:val="multilevel"/>
    <w:tmpl w:val="E6F2906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D6A1DCD"/>
    <w:multiLevelType w:val="multilevel"/>
    <w:tmpl w:val="D24A0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D725EE4"/>
    <w:multiLevelType w:val="multilevel"/>
    <w:tmpl w:val="1422C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F193274"/>
    <w:multiLevelType w:val="multilevel"/>
    <w:tmpl w:val="946A465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4ED5E84"/>
    <w:multiLevelType w:val="multilevel"/>
    <w:tmpl w:val="93E2BF6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614074B"/>
    <w:multiLevelType w:val="multilevel"/>
    <w:tmpl w:val="FC18D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2F236B4"/>
    <w:multiLevelType w:val="multilevel"/>
    <w:tmpl w:val="8612E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5B50DD1"/>
    <w:multiLevelType w:val="multilevel"/>
    <w:tmpl w:val="954CEAE2"/>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5E13AE3"/>
    <w:multiLevelType w:val="multilevel"/>
    <w:tmpl w:val="B9A21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90A6434"/>
    <w:multiLevelType w:val="multilevel"/>
    <w:tmpl w:val="C3984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BDA56E9"/>
    <w:multiLevelType w:val="multilevel"/>
    <w:tmpl w:val="0186E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D4D694F"/>
    <w:multiLevelType w:val="multilevel"/>
    <w:tmpl w:val="8F74E3E2"/>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FC237AD"/>
    <w:multiLevelType w:val="multilevel"/>
    <w:tmpl w:val="4DF88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2417ABF"/>
    <w:multiLevelType w:val="multilevel"/>
    <w:tmpl w:val="6B586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96B5279"/>
    <w:multiLevelType w:val="multilevel"/>
    <w:tmpl w:val="82BCE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C2F73FD"/>
    <w:multiLevelType w:val="multilevel"/>
    <w:tmpl w:val="2362A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E571472"/>
    <w:multiLevelType w:val="multilevel"/>
    <w:tmpl w:val="12DCB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51413056">
    <w:abstractNumId w:val="33"/>
  </w:num>
  <w:num w:numId="2" w16cid:durableId="440540382">
    <w:abstractNumId w:val="36"/>
  </w:num>
  <w:num w:numId="3" w16cid:durableId="925724386">
    <w:abstractNumId w:val="24"/>
  </w:num>
  <w:num w:numId="4" w16cid:durableId="1070425934">
    <w:abstractNumId w:val="9"/>
  </w:num>
  <w:num w:numId="5" w16cid:durableId="1258909092">
    <w:abstractNumId w:val="3"/>
  </w:num>
  <w:num w:numId="6" w16cid:durableId="440345130">
    <w:abstractNumId w:val="29"/>
  </w:num>
  <w:num w:numId="7" w16cid:durableId="351304037">
    <w:abstractNumId w:val="43"/>
  </w:num>
  <w:num w:numId="8" w16cid:durableId="2137095679">
    <w:abstractNumId w:val="10"/>
  </w:num>
  <w:num w:numId="9" w16cid:durableId="473640143">
    <w:abstractNumId w:val="37"/>
  </w:num>
  <w:num w:numId="10" w16cid:durableId="751506998">
    <w:abstractNumId w:val="41"/>
  </w:num>
  <w:num w:numId="11" w16cid:durableId="117916955">
    <w:abstractNumId w:val="18"/>
  </w:num>
  <w:num w:numId="12" w16cid:durableId="2116903100">
    <w:abstractNumId w:val="40"/>
  </w:num>
  <w:num w:numId="13" w16cid:durableId="532695029">
    <w:abstractNumId w:val="8"/>
  </w:num>
  <w:num w:numId="14" w16cid:durableId="148836062">
    <w:abstractNumId w:val="23"/>
  </w:num>
  <w:num w:numId="15" w16cid:durableId="409431383">
    <w:abstractNumId w:val="5"/>
  </w:num>
  <w:num w:numId="16" w16cid:durableId="1278099502">
    <w:abstractNumId w:val="42"/>
  </w:num>
  <w:num w:numId="17" w16cid:durableId="1365789249">
    <w:abstractNumId w:val="27"/>
  </w:num>
  <w:num w:numId="18" w16cid:durableId="1209605149">
    <w:abstractNumId w:val="30"/>
  </w:num>
  <w:num w:numId="19" w16cid:durableId="752438683">
    <w:abstractNumId w:val="16"/>
  </w:num>
  <w:num w:numId="20" w16cid:durableId="2030328480">
    <w:abstractNumId w:val="17"/>
  </w:num>
  <w:num w:numId="21" w16cid:durableId="759910160">
    <w:abstractNumId w:val="19"/>
  </w:num>
  <w:num w:numId="22" w16cid:durableId="673797842">
    <w:abstractNumId w:val="4"/>
    <w:lvlOverride w:ilvl="0">
      <w:lvl w:ilvl="0">
        <w:numFmt w:val="decimal"/>
        <w:lvlText w:val="%1."/>
        <w:lvlJc w:val="left"/>
      </w:lvl>
    </w:lvlOverride>
  </w:num>
  <w:num w:numId="23" w16cid:durableId="1782989972">
    <w:abstractNumId w:val="4"/>
    <w:lvlOverride w:ilvl="0">
      <w:lvl w:ilvl="0">
        <w:numFmt w:val="decimal"/>
        <w:lvlText w:val="%1."/>
        <w:lvlJc w:val="left"/>
      </w:lvl>
    </w:lvlOverride>
  </w:num>
  <w:num w:numId="24" w16cid:durableId="854735400">
    <w:abstractNumId w:val="4"/>
    <w:lvlOverride w:ilvl="0">
      <w:lvl w:ilvl="0">
        <w:numFmt w:val="decimal"/>
        <w:lvlText w:val="%1."/>
        <w:lvlJc w:val="left"/>
      </w:lvl>
    </w:lvlOverride>
  </w:num>
  <w:num w:numId="25" w16cid:durableId="2042776343">
    <w:abstractNumId w:val="4"/>
    <w:lvlOverride w:ilvl="0">
      <w:lvl w:ilvl="0">
        <w:numFmt w:val="decimal"/>
        <w:lvlText w:val="%1."/>
        <w:lvlJc w:val="left"/>
      </w:lvl>
    </w:lvlOverride>
  </w:num>
  <w:num w:numId="26" w16cid:durableId="1568151343">
    <w:abstractNumId w:val="4"/>
    <w:lvlOverride w:ilvl="0">
      <w:lvl w:ilvl="0">
        <w:numFmt w:val="decimal"/>
        <w:lvlText w:val="%1."/>
        <w:lvlJc w:val="left"/>
      </w:lvl>
    </w:lvlOverride>
  </w:num>
  <w:num w:numId="27" w16cid:durableId="184488571">
    <w:abstractNumId w:val="4"/>
    <w:lvlOverride w:ilvl="0">
      <w:lvl w:ilvl="0">
        <w:numFmt w:val="decimal"/>
        <w:lvlText w:val="%1."/>
        <w:lvlJc w:val="left"/>
      </w:lvl>
    </w:lvlOverride>
  </w:num>
  <w:num w:numId="28" w16cid:durableId="171722831">
    <w:abstractNumId w:val="1"/>
  </w:num>
  <w:num w:numId="29" w16cid:durableId="1788155262">
    <w:abstractNumId w:val="22"/>
  </w:num>
  <w:num w:numId="30" w16cid:durableId="1497499362">
    <w:abstractNumId w:val="14"/>
  </w:num>
  <w:num w:numId="31" w16cid:durableId="1232229035">
    <w:abstractNumId w:val="26"/>
  </w:num>
  <w:num w:numId="32" w16cid:durableId="1020550969">
    <w:abstractNumId w:val="13"/>
  </w:num>
  <w:num w:numId="33" w16cid:durableId="2015648010">
    <w:abstractNumId w:val="20"/>
  </w:num>
  <w:num w:numId="34" w16cid:durableId="1904060">
    <w:abstractNumId w:val="15"/>
  </w:num>
  <w:num w:numId="35" w16cid:durableId="258174452">
    <w:abstractNumId w:val="35"/>
    <w:lvlOverride w:ilvl="0">
      <w:lvl w:ilvl="0">
        <w:numFmt w:val="decimal"/>
        <w:lvlText w:val="%1."/>
        <w:lvlJc w:val="left"/>
      </w:lvl>
    </w:lvlOverride>
  </w:num>
  <w:num w:numId="36" w16cid:durableId="2088533681">
    <w:abstractNumId w:val="25"/>
    <w:lvlOverride w:ilvl="0">
      <w:lvl w:ilvl="0">
        <w:numFmt w:val="decimal"/>
        <w:lvlText w:val="%1."/>
        <w:lvlJc w:val="left"/>
      </w:lvl>
    </w:lvlOverride>
  </w:num>
  <w:num w:numId="37" w16cid:durableId="1443066170">
    <w:abstractNumId w:val="28"/>
    <w:lvlOverride w:ilvl="0">
      <w:lvl w:ilvl="0">
        <w:numFmt w:val="decimal"/>
        <w:lvlText w:val="%1."/>
        <w:lvlJc w:val="left"/>
      </w:lvl>
    </w:lvlOverride>
  </w:num>
  <w:num w:numId="38" w16cid:durableId="1081566250">
    <w:abstractNumId w:val="2"/>
    <w:lvlOverride w:ilvl="0">
      <w:lvl w:ilvl="0">
        <w:numFmt w:val="decimal"/>
        <w:lvlText w:val="%1."/>
        <w:lvlJc w:val="left"/>
      </w:lvl>
    </w:lvlOverride>
  </w:num>
  <w:num w:numId="39" w16cid:durableId="1105493998">
    <w:abstractNumId w:val="0"/>
    <w:lvlOverride w:ilvl="0">
      <w:lvl w:ilvl="0">
        <w:numFmt w:val="decimal"/>
        <w:lvlText w:val="%1."/>
        <w:lvlJc w:val="left"/>
      </w:lvl>
    </w:lvlOverride>
  </w:num>
  <w:num w:numId="40" w16cid:durableId="1826314189">
    <w:abstractNumId w:val="39"/>
    <w:lvlOverride w:ilvl="0">
      <w:lvl w:ilvl="0">
        <w:numFmt w:val="decimal"/>
        <w:lvlText w:val="%1."/>
        <w:lvlJc w:val="left"/>
      </w:lvl>
    </w:lvlOverride>
  </w:num>
  <w:num w:numId="41" w16cid:durableId="1112092541">
    <w:abstractNumId w:val="38"/>
  </w:num>
  <w:num w:numId="42" w16cid:durableId="1048725486">
    <w:abstractNumId w:val="44"/>
  </w:num>
  <w:num w:numId="43" w16cid:durableId="1554464875">
    <w:abstractNumId w:val="34"/>
  </w:num>
  <w:num w:numId="44" w16cid:durableId="1912960220">
    <w:abstractNumId w:val="7"/>
  </w:num>
  <w:num w:numId="45" w16cid:durableId="1443187061">
    <w:abstractNumId w:val="12"/>
  </w:num>
  <w:num w:numId="46" w16cid:durableId="723257815">
    <w:abstractNumId w:val="31"/>
    <w:lvlOverride w:ilvl="0">
      <w:lvl w:ilvl="0">
        <w:numFmt w:val="decimal"/>
        <w:lvlText w:val="%1."/>
        <w:lvlJc w:val="left"/>
      </w:lvl>
    </w:lvlOverride>
  </w:num>
  <w:num w:numId="47" w16cid:durableId="1878658350">
    <w:abstractNumId w:val="11"/>
    <w:lvlOverride w:ilvl="0">
      <w:lvl w:ilvl="0">
        <w:numFmt w:val="decimal"/>
        <w:lvlText w:val="%1."/>
        <w:lvlJc w:val="left"/>
      </w:lvl>
    </w:lvlOverride>
  </w:num>
  <w:num w:numId="48" w16cid:durableId="1759129129">
    <w:abstractNumId w:val="32"/>
    <w:lvlOverride w:ilvl="0">
      <w:lvl w:ilvl="0">
        <w:numFmt w:val="decimal"/>
        <w:lvlText w:val="%1."/>
        <w:lvlJc w:val="left"/>
      </w:lvl>
    </w:lvlOverride>
  </w:num>
  <w:num w:numId="49" w16cid:durableId="341518585">
    <w:abstractNumId w:val="21"/>
    <w:lvlOverride w:ilvl="0">
      <w:lvl w:ilvl="0">
        <w:numFmt w:val="decimal"/>
        <w:lvlText w:val="%1."/>
        <w:lvlJc w:val="left"/>
      </w:lvl>
    </w:lvlOverride>
  </w:num>
  <w:num w:numId="50" w16cid:durableId="1536499595">
    <w:abstractNumId w:val="6"/>
    <w:lvlOverride w:ilvl="0">
      <w:lvl w:ilvl="0">
        <w:numFmt w:val="decimal"/>
        <w:lvlText w:val="%1."/>
        <w:lvlJc w:val="left"/>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2688"/>
    <w:rsid w:val="00012688"/>
    <w:rsid w:val="00050678"/>
    <w:rsid w:val="001A21AD"/>
    <w:rsid w:val="001C1C8A"/>
    <w:rsid w:val="001E4B1A"/>
    <w:rsid w:val="002E3E10"/>
    <w:rsid w:val="00333CFC"/>
    <w:rsid w:val="00483C86"/>
    <w:rsid w:val="006C5AB5"/>
    <w:rsid w:val="00D949FA"/>
    <w:rsid w:val="00EA58F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BE8641"/>
  <w15:docId w15:val="{831EB0B0-9437-4DE9-859D-A1EEF620C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pPr>
      <w:keepNext/>
      <w:keepLines/>
      <w:spacing w:before="480" w:after="120"/>
      <w:outlineLvl w:val="0"/>
    </w:pPr>
    <w:rPr>
      <w:b/>
      <w:bCs/>
      <w:sz w:val="48"/>
      <w:szCs w:val="48"/>
    </w:rPr>
  </w:style>
  <w:style w:type="paragraph" w:styleId="Ttulo2">
    <w:name w:val="heading 2"/>
    <w:basedOn w:val="Normal"/>
    <w:next w:val="Normal"/>
    <w:link w:val="Ttulo2Car"/>
    <w:uiPriority w:val="9"/>
    <w:semiHidden/>
    <w:unhideWhenUsed/>
    <w:qFormat/>
    <w:pPr>
      <w:keepNext/>
      <w:keepLines/>
      <w:spacing w:before="360" w:after="80"/>
      <w:outlineLvl w:val="1"/>
    </w:pPr>
    <w:rPr>
      <w:b/>
      <w:bCs/>
      <w:sz w:val="36"/>
      <w:szCs w:val="36"/>
    </w:rPr>
  </w:style>
  <w:style w:type="paragraph" w:styleId="Ttulo3">
    <w:name w:val="heading 3"/>
    <w:basedOn w:val="Normal"/>
    <w:next w:val="Normal"/>
    <w:link w:val="Ttulo3Car"/>
    <w:uiPriority w:val="9"/>
    <w:semiHidden/>
    <w:unhideWhenUsed/>
    <w:qFormat/>
    <w:pPr>
      <w:keepNext/>
      <w:keepLines/>
      <w:spacing w:before="280" w:after="80"/>
      <w:outlineLvl w:val="2"/>
    </w:pPr>
    <w:rPr>
      <w:b/>
      <w:bCs/>
      <w:sz w:val="28"/>
      <w:szCs w:val="28"/>
    </w:rPr>
  </w:style>
  <w:style w:type="paragraph" w:styleId="Ttulo4">
    <w:name w:val="heading 4"/>
    <w:basedOn w:val="Normal"/>
    <w:next w:val="Normal"/>
    <w:link w:val="Ttulo4Car"/>
    <w:uiPriority w:val="9"/>
    <w:semiHidden/>
    <w:unhideWhenUsed/>
    <w:qFormat/>
    <w:pPr>
      <w:keepNext/>
      <w:keepLines/>
      <w:spacing w:before="240" w:after="40"/>
      <w:outlineLvl w:val="3"/>
    </w:pPr>
    <w:rPr>
      <w:b/>
      <w:bCs/>
    </w:rPr>
  </w:style>
  <w:style w:type="paragraph" w:styleId="Ttulo5">
    <w:name w:val="heading 5"/>
    <w:basedOn w:val="Normal"/>
    <w:next w:val="Normal"/>
    <w:link w:val="Ttulo5Car"/>
    <w:uiPriority w:val="9"/>
    <w:semiHidden/>
    <w:unhideWhenUsed/>
    <w:qFormat/>
    <w:pPr>
      <w:keepNext/>
      <w:keepLines/>
      <w:spacing w:before="220" w:after="40"/>
      <w:outlineLvl w:val="4"/>
    </w:pPr>
    <w:rPr>
      <w:b/>
      <w:bCs/>
      <w:sz w:val="22"/>
      <w:szCs w:val="22"/>
    </w:rPr>
  </w:style>
  <w:style w:type="paragraph" w:styleId="Ttulo6">
    <w:name w:val="heading 6"/>
    <w:basedOn w:val="Normal"/>
    <w:next w:val="Normal"/>
    <w:link w:val="Ttulo6Car"/>
    <w:uiPriority w:val="9"/>
    <w:semiHidden/>
    <w:unhideWhenUsed/>
    <w:qFormat/>
    <w:pPr>
      <w:keepNext/>
      <w:keepLines/>
      <w:spacing w:before="200" w:after="40"/>
      <w:outlineLvl w:val="5"/>
    </w:pPr>
    <w:rPr>
      <w:b/>
      <w:bCs/>
      <w:sz w:val="20"/>
      <w:szCs w:val="20"/>
    </w:rPr>
  </w:style>
  <w:style w:type="paragraph" w:styleId="Ttulo7">
    <w:name w:val="heading 7"/>
    <w:basedOn w:val="Normal"/>
    <w:next w:val="Normal"/>
    <w:link w:val="Ttulo7Car"/>
    <w:uiPriority w:val="9"/>
    <w:semiHidden/>
    <w:unhideWhenUsed/>
    <w:qFormat/>
    <w:rsid w:val="006C5AB5"/>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Ttulo8">
    <w:name w:val="heading 8"/>
    <w:basedOn w:val="Normal"/>
    <w:next w:val="Normal"/>
    <w:link w:val="Ttulo8Car"/>
    <w:uiPriority w:val="9"/>
    <w:semiHidden/>
    <w:unhideWhenUsed/>
    <w:qFormat/>
    <w:rsid w:val="006C5AB5"/>
    <w:pPr>
      <w:keepNext/>
      <w:keepLines/>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Ttulo9">
    <w:name w:val="heading 9"/>
    <w:basedOn w:val="Normal"/>
    <w:next w:val="Normal"/>
    <w:link w:val="Ttulo9Car"/>
    <w:uiPriority w:val="9"/>
    <w:semiHidden/>
    <w:unhideWhenUsed/>
    <w:qFormat/>
    <w:rsid w:val="006C5AB5"/>
    <w:pPr>
      <w:keepNext/>
      <w:keepLines/>
      <w:spacing w:line="278" w:lineRule="auto"/>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uiPriority w:val="10"/>
    <w:qFormat/>
    <w:pPr>
      <w:keepNext/>
      <w:keepLines/>
      <w:spacing w:before="480" w:after="120"/>
    </w:pPr>
    <w:rPr>
      <w:b/>
      <w:bCs/>
      <w:sz w:val="72"/>
      <w:szCs w:val="72"/>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iCs/>
      <w:color w:val="666666"/>
      <w:sz w:val="48"/>
      <w:szCs w:val="48"/>
    </w:rPr>
  </w:style>
  <w:style w:type="character" w:customStyle="1" w:styleId="Ttulo7Car">
    <w:name w:val="Título 7 Car"/>
    <w:basedOn w:val="Fuentedeprrafopredeter"/>
    <w:link w:val="Ttulo7"/>
    <w:uiPriority w:val="9"/>
    <w:semiHidden/>
    <w:rsid w:val="006C5AB5"/>
    <w:rPr>
      <w:rFonts w:asciiTheme="minorHAnsi" w:eastAsiaTheme="majorEastAsia" w:hAnsiTheme="minorHAnsi" w:cstheme="majorBidi"/>
      <w:color w:val="595959" w:themeColor="text1" w:themeTint="A6"/>
      <w:kern w:val="2"/>
      <w:lang w:eastAsia="en-US"/>
      <w14:ligatures w14:val="standardContextual"/>
    </w:rPr>
  </w:style>
  <w:style w:type="character" w:customStyle="1" w:styleId="Ttulo8Car">
    <w:name w:val="Título 8 Car"/>
    <w:basedOn w:val="Fuentedeprrafopredeter"/>
    <w:link w:val="Ttulo8"/>
    <w:uiPriority w:val="9"/>
    <w:semiHidden/>
    <w:rsid w:val="006C5AB5"/>
    <w:rPr>
      <w:rFonts w:asciiTheme="minorHAnsi" w:eastAsiaTheme="majorEastAsia" w:hAnsiTheme="minorHAnsi" w:cstheme="majorBidi"/>
      <w:i/>
      <w:iCs/>
      <w:color w:val="272727" w:themeColor="text1" w:themeTint="D8"/>
      <w:kern w:val="2"/>
      <w:lang w:eastAsia="en-US"/>
      <w14:ligatures w14:val="standardContextual"/>
    </w:rPr>
  </w:style>
  <w:style w:type="character" w:customStyle="1" w:styleId="Ttulo9Car">
    <w:name w:val="Título 9 Car"/>
    <w:basedOn w:val="Fuentedeprrafopredeter"/>
    <w:link w:val="Ttulo9"/>
    <w:uiPriority w:val="9"/>
    <w:semiHidden/>
    <w:rsid w:val="006C5AB5"/>
    <w:rPr>
      <w:rFonts w:asciiTheme="minorHAnsi" w:eastAsiaTheme="majorEastAsia" w:hAnsiTheme="minorHAnsi" w:cstheme="majorBidi"/>
      <w:color w:val="272727" w:themeColor="text1" w:themeTint="D8"/>
      <w:kern w:val="2"/>
      <w:lang w:eastAsia="en-US"/>
      <w14:ligatures w14:val="standardContextual"/>
    </w:rPr>
  </w:style>
  <w:style w:type="character" w:customStyle="1" w:styleId="Ttulo1Car">
    <w:name w:val="Título 1 Car"/>
    <w:basedOn w:val="Fuentedeprrafopredeter"/>
    <w:link w:val="Ttulo1"/>
    <w:uiPriority w:val="9"/>
    <w:rsid w:val="006C5AB5"/>
    <w:rPr>
      <w:b/>
      <w:bCs/>
      <w:sz w:val="48"/>
      <w:szCs w:val="48"/>
    </w:rPr>
  </w:style>
  <w:style w:type="character" w:customStyle="1" w:styleId="Ttulo2Car">
    <w:name w:val="Título 2 Car"/>
    <w:basedOn w:val="Fuentedeprrafopredeter"/>
    <w:link w:val="Ttulo2"/>
    <w:uiPriority w:val="9"/>
    <w:semiHidden/>
    <w:rsid w:val="006C5AB5"/>
    <w:rPr>
      <w:b/>
      <w:bCs/>
      <w:sz w:val="36"/>
      <w:szCs w:val="36"/>
    </w:rPr>
  </w:style>
  <w:style w:type="character" w:customStyle="1" w:styleId="Ttulo3Car">
    <w:name w:val="Título 3 Car"/>
    <w:basedOn w:val="Fuentedeprrafopredeter"/>
    <w:link w:val="Ttulo3"/>
    <w:uiPriority w:val="9"/>
    <w:semiHidden/>
    <w:rsid w:val="006C5AB5"/>
    <w:rPr>
      <w:b/>
      <w:bCs/>
      <w:sz w:val="28"/>
      <w:szCs w:val="28"/>
    </w:rPr>
  </w:style>
  <w:style w:type="character" w:customStyle="1" w:styleId="Ttulo4Car">
    <w:name w:val="Título 4 Car"/>
    <w:basedOn w:val="Fuentedeprrafopredeter"/>
    <w:link w:val="Ttulo4"/>
    <w:uiPriority w:val="9"/>
    <w:semiHidden/>
    <w:rsid w:val="006C5AB5"/>
    <w:rPr>
      <w:b/>
      <w:bCs/>
    </w:rPr>
  </w:style>
  <w:style w:type="character" w:customStyle="1" w:styleId="Ttulo5Car">
    <w:name w:val="Título 5 Car"/>
    <w:basedOn w:val="Fuentedeprrafopredeter"/>
    <w:link w:val="Ttulo5"/>
    <w:uiPriority w:val="9"/>
    <w:semiHidden/>
    <w:rsid w:val="006C5AB5"/>
    <w:rPr>
      <w:b/>
      <w:bCs/>
      <w:sz w:val="22"/>
      <w:szCs w:val="22"/>
    </w:rPr>
  </w:style>
  <w:style w:type="character" w:customStyle="1" w:styleId="Ttulo6Car">
    <w:name w:val="Título 6 Car"/>
    <w:basedOn w:val="Fuentedeprrafopredeter"/>
    <w:link w:val="Ttulo6"/>
    <w:uiPriority w:val="9"/>
    <w:semiHidden/>
    <w:rsid w:val="006C5AB5"/>
    <w:rPr>
      <w:b/>
      <w:bCs/>
      <w:sz w:val="20"/>
      <w:szCs w:val="20"/>
    </w:rPr>
  </w:style>
  <w:style w:type="character" w:customStyle="1" w:styleId="TtuloCar">
    <w:name w:val="Título Car"/>
    <w:basedOn w:val="Fuentedeprrafopredeter"/>
    <w:link w:val="Ttulo"/>
    <w:uiPriority w:val="10"/>
    <w:rsid w:val="006C5AB5"/>
    <w:rPr>
      <w:b/>
      <w:bCs/>
      <w:sz w:val="72"/>
      <w:szCs w:val="72"/>
    </w:rPr>
  </w:style>
  <w:style w:type="character" w:customStyle="1" w:styleId="SubttuloCar">
    <w:name w:val="Subtítulo Car"/>
    <w:basedOn w:val="Fuentedeprrafopredeter"/>
    <w:link w:val="Subttulo"/>
    <w:uiPriority w:val="11"/>
    <w:rsid w:val="006C5AB5"/>
    <w:rPr>
      <w:rFonts w:ascii="Georgia" w:eastAsia="Georgia" w:hAnsi="Georgia" w:cs="Georgia"/>
      <w:i/>
      <w:iCs/>
      <w:color w:val="666666"/>
      <w:sz w:val="48"/>
      <w:szCs w:val="48"/>
    </w:rPr>
  </w:style>
  <w:style w:type="paragraph" w:styleId="Cita">
    <w:name w:val="Quote"/>
    <w:basedOn w:val="Normal"/>
    <w:next w:val="Normal"/>
    <w:link w:val="CitaCar"/>
    <w:uiPriority w:val="29"/>
    <w:qFormat/>
    <w:rsid w:val="006C5AB5"/>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CitaCar">
    <w:name w:val="Cita Car"/>
    <w:basedOn w:val="Fuentedeprrafopredeter"/>
    <w:link w:val="Cita"/>
    <w:uiPriority w:val="29"/>
    <w:rsid w:val="006C5AB5"/>
    <w:rPr>
      <w:rFonts w:asciiTheme="minorHAnsi" w:eastAsiaTheme="minorHAnsi" w:hAnsiTheme="minorHAnsi" w:cstheme="minorBidi"/>
      <w:i/>
      <w:iCs/>
      <w:color w:val="404040" w:themeColor="text1" w:themeTint="BF"/>
      <w:kern w:val="2"/>
      <w:lang w:eastAsia="en-US"/>
      <w14:ligatures w14:val="standardContextual"/>
    </w:rPr>
  </w:style>
  <w:style w:type="paragraph" w:styleId="Prrafodelista">
    <w:name w:val="List Paragraph"/>
    <w:basedOn w:val="Normal"/>
    <w:uiPriority w:val="34"/>
    <w:qFormat/>
    <w:rsid w:val="006C5AB5"/>
    <w:pPr>
      <w:spacing w:after="160" w:line="278" w:lineRule="auto"/>
      <w:ind w:left="720"/>
      <w:contextualSpacing/>
    </w:pPr>
    <w:rPr>
      <w:rFonts w:asciiTheme="minorHAnsi" w:eastAsiaTheme="minorHAnsi" w:hAnsiTheme="minorHAnsi" w:cstheme="minorBidi"/>
      <w:kern w:val="2"/>
      <w:lang w:eastAsia="en-US"/>
      <w14:ligatures w14:val="standardContextual"/>
    </w:rPr>
  </w:style>
  <w:style w:type="character" w:styleId="nfasisintenso">
    <w:name w:val="Intense Emphasis"/>
    <w:basedOn w:val="Fuentedeprrafopredeter"/>
    <w:uiPriority w:val="21"/>
    <w:qFormat/>
    <w:rsid w:val="006C5AB5"/>
    <w:rPr>
      <w:i/>
      <w:iCs/>
      <w:color w:val="365F91" w:themeColor="accent1" w:themeShade="BF"/>
    </w:rPr>
  </w:style>
  <w:style w:type="paragraph" w:styleId="Citadestacada">
    <w:name w:val="Intense Quote"/>
    <w:basedOn w:val="Normal"/>
    <w:next w:val="Normal"/>
    <w:link w:val="CitadestacadaCar"/>
    <w:uiPriority w:val="30"/>
    <w:qFormat/>
    <w:rsid w:val="006C5AB5"/>
    <w:pPr>
      <w:pBdr>
        <w:top w:val="single" w:sz="4" w:space="10" w:color="365F91" w:themeColor="accent1" w:themeShade="BF"/>
        <w:bottom w:val="single" w:sz="4" w:space="10" w:color="365F91" w:themeColor="accent1" w:themeShade="BF"/>
      </w:pBdr>
      <w:spacing w:before="360" w:after="360" w:line="278" w:lineRule="auto"/>
      <w:ind w:left="864" w:right="864"/>
      <w:jc w:val="center"/>
    </w:pPr>
    <w:rPr>
      <w:rFonts w:asciiTheme="minorHAnsi" w:eastAsiaTheme="minorHAnsi" w:hAnsiTheme="minorHAnsi" w:cstheme="minorBidi"/>
      <w:i/>
      <w:iCs/>
      <w:color w:val="365F91" w:themeColor="accent1" w:themeShade="BF"/>
      <w:kern w:val="2"/>
      <w:lang w:eastAsia="en-US"/>
      <w14:ligatures w14:val="standardContextual"/>
    </w:rPr>
  </w:style>
  <w:style w:type="character" w:customStyle="1" w:styleId="CitadestacadaCar">
    <w:name w:val="Cita destacada Car"/>
    <w:basedOn w:val="Fuentedeprrafopredeter"/>
    <w:link w:val="Citadestacada"/>
    <w:uiPriority w:val="30"/>
    <w:rsid w:val="006C5AB5"/>
    <w:rPr>
      <w:rFonts w:asciiTheme="minorHAnsi" w:eastAsiaTheme="minorHAnsi" w:hAnsiTheme="minorHAnsi" w:cstheme="minorBidi"/>
      <w:i/>
      <w:iCs/>
      <w:color w:val="365F91" w:themeColor="accent1" w:themeShade="BF"/>
      <w:kern w:val="2"/>
      <w:lang w:eastAsia="en-US"/>
      <w14:ligatures w14:val="standardContextual"/>
    </w:rPr>
  </w:style>
  <w:style w:type="character" w:styleId="Referenciaintensa">
    <w:name w:val="Intense Reference"/>
    <w:basedOn w:val="Fuentedeprrafopredeter"/>
    <w:uiPriority w:val="32"/>
    <w:qFormat/>
    <w:rsid w:val="006C5AB5"/>
    <w:rPr>
      <w:b/>
      <w:bCs/>
      <w:smallCaps/>
      <w:color w:val="365F9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14</Pages>
  <Words>4963</Words>
  <Characters>27297</Characters>
  <Application>Microsoft Office Word</Application>
  <DocSecurity>0</DocSecurity>
  <Lines>227</Lines>
  <Paragraphs>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Jacky</dc:creator>
  <cp:lastModifiedBy>Jackeline Betancourt Ch</cp:lastModifiedBy>
  <cp:revision>3</cp:revision>
  <dcterms:created xsi:type="dcterms:W3CDTF">2026-03-16T01:08:00Z</dcterms:created>
  <dcterms:modified xsi:type="dcterms:W3CDTF">2026-03-16T01:08:00Z</dcterms:modified>
</cp:coreProperties>
</file>